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AE99" w14:textId="77777777" w:rsidR="0079260D" w:rsidRDefault="0079260D">
      <w:pPr>
        <w:rPr>
          <w:b/>
          <w:bCs/>
          <w:sz w:val="40"/>
          <w:szCs w:val="40"/>
        </w:rPr>
      </w:pPr>
    </w:p>
    <w:p w14:paraId="150DC7B6" w14:textId="77777777" w:rsidR="0079260D" w:rsidRDefault="0079260D">
      <w:pPr>
        <w:rPr>
          <w:b/>
          <w:bCs/>
          <w:sz w:val="40"/>
          <w:szCs w:val="40"/>
        </w:rPr>
      </w:pPr>
    </w:p>
    <w:p w14:paraId="2196A39A" w14:textId="77777777" w:rsidR="0079260D" w:rsidRDefault="0079260D">
      <w:pPr>
        <w:rPr>
          <w:b/>
          <w:bCs/>
          <w:sz w:val="40"/>
          <w:szCs w:val="40"/>
        </w:rPr>
      </w:pPr>
    </w:p>
    <w:p w14:paraId="38FC2F4D" w14:textId="77777777" w:rsidR="00212D1F" w:rsidRDefault="00212D1F" w:rsidP="00A72BD7">
      <w:pPr>
        <w:jc w:val="center"/>
        <w:rPr>
          <w:b/>
          <w:bCs/>
          <w:color w:val="487D37"/>
          <w:sz w:val="36"/>
          <w:szCs w:val="36"/>
        </w:rPr>
      </w:pPr>
    </w:p>
    <w:p w14:paraId="487913ED" w14:textId="622C2BD7" w:rsidR="0004391C" w:rsidRDefault="00A8741C" w:rsidP="0004391C">
      <w:pPr>
        <w:jc w:val="center"/>
        <w:rPr>
          <w:b/>
          <w:bCs/>
          <w:color w:val="487D37"/>
          <w:sz w:val="36"/>
          <w:szCs w:val="36"/>
        </w:rPr>
      </w:pPr>
      <w:r>
        <w:rPr>
          <w:b/>
          <w:bCs/>
          <w:color w:val="487D37"/>
          <w:sz w:val="36"/>
          <w:szCs w:val="36"/>
        </w:rPr>
        <w:t>WHISTLEBLOWER POLICY</w:t>
      </w:r>
    </w:p>
    <w:p w14:paraId="2EC7B561" w14:textId="77777777" w:rsidR="00364AAF" w:rsidRDefault="00364AAF" w:rsidP="00364AAF">
      <w:pPr>
        <w:rPr>
          <w:rFonts w:ascii="Arial" w:hAnsi="Arial" w:cs="Arial"/>
        </w:rPr>
      </w:pPr>
      <w:bookmarkStart w:id="0" w:name="_Hlk167294469"/>
      <w:r w:rsidRPr="0004391C">
        <w:rPr>
          <w:rFonts w:ascii="Arial" w:hAnsi="Arial" w:cs="Arial"/>
        </w:rPr>
        <w:t xml:space="preserve">At SRA we are guided by our company values. These values are the foundation of how we conduct ourselves and interact with each other, our clients, members, suppliers, shareholders and other stakeholders. SRA is committed to ensure corporate compliance and promoting ethical corporate culture by observing the highest standards of fair dealing, honesty and integrity in all our business activities. </w:t>
      </w:r>
    </w:p>
    <w:p w14:paraId="706EE67D" w14:textId="77777777" w:rsidR="0004391C" w:rsidRPr="0004391C" w:rsidRDefault="0004391C" w:rsidP="00364AAF">
      <w:pPr>
        <w:rPr>
          <w:rFonts w:ascii="Arial" w:hAnsi="Arial" w:cs="Arial"/>
        </w:rPr>
      </w:pPr>
    </w:p>
    <w:p w14:paraId="3E861F22" w14:textId="77777777" w:rsidR="00364AAF" w:rsidRPr="0004391C" w:rsidRDefault="00364AAF" w:rsidP="00364AAF">
      <w:pPr>
        <w:rPr>
          <w:rFonts w:ascii="Arial" w:hAnsi="Arial" w:cs="Arial"/>
          <w:b/>
          <w:bCs/>
          <w:color w:val="487D37"/>
        </w:rPr>
      </w:pPr>
      <w:r w:rsidRPr="0004391C">
        <w:rPr>
          <w:rFonts w:ascii="Arial" w:hAnsi="Arial" w:cs="Arial"/>
          <w:b/>
          <w:bCs/>
          <w:color w:val="487D37"/>
        </w:rPr>
        <w:t>PURPOSE</w:t>
      </w:r>
    </w:p>
    <w:p w14:paraId="3A652D79" w14:textId="77777777" w:rsidR="00364AAF" w:rsidRPr="0004391C" w:rsidRDefault="00364AAF" w:rsidP="00364AAF">
      <w:pPr>
        <w:rPr>
          <w:rFonts w:ascii="Arial" w:hAnsi="Arial" w:cs="Arial"/>
        </w:rPr>
      </w:pPr>
      <w:r w:rsidRPr="0004391C">
        <w:rPr>
          <w:rFonts w:ascii="Arial" w:hAnsi="Arial" w:cs="Arial"/>
        </w:rPr>
        <w:t>SRA encourages the reporting of any instances of suspected unethical, illegal, corrupt, fraudulent or undesirable conduct involving SRA’s business and provides protections and measures to individuals who make a disclosure in relation to such conduct without fear of victimisation, intimidation or reprisal.</w:t>
      </w:r>
    </w:p>
    <w:p w14:paraId="568E57CB" w14:textId="77777777" w:rsidR="00364AAF" w:rsidRDefault="00364AAF" w:rsidP="00364AAF">
      <w:pPr>
        <w:rPr>
          <w:rFonts w:ascii="Arial" w:hAnsi="Arial" w:cs="Arial"/>
        </w:rPr>
      </w:pPr>
      <w:r w:rsidRPr="0004391C">
        <w:rPr>
          <w:rFonts w:ascii="Arial" w:hAnsi="Arial" w:cs="Arial"/>
        </w:rPr>
        <w:t xml:space="preserve">This policy will be made available on SRA website and in any other ways that will ensure that it is made available to persons to whom this policy applies. </w:t>
      </w:r>
    </w:p>
    <w:p w14:paraId="747A0EF1" w14:textId="77777777" w:rsidR="0004391C" w:rsidRPr="0004391C" w:rsidRDefault="0004391C" w:rsidP="00364AAF">
      <w:pPr>
        <w:rPr>
          <w:rFonts w:ascii="Arial" w:hAnsi="Arial" w:cs="Arial"/>
        </w:rPr>
      </w:pPr>
    </w:p>
    <w:p w14:paraId="2DCAE29C" w14:textId="77777777" w:rsidR="00364AAF" w:rsidRPr="0004391C" w:rsidRDefault="00364AAF" w:rsidP="00364AAF">
      <w:pPr>
        <w:rPr>
          <w:rFonts w:ascii="Arial" w:hAnsi="Arial" w:cs="Arial"/>
          <w:b/>
          <w:bCs/>
          <w:color w:val="487D37"/>
        </w:rPr>
      </w:pPr>
      <w:r w:rsidRPr="0004391C">
        <w:rPr>
          <w:rFonts w:ascii="Arial" w:hAnsi="Arial" w:cs="Arial"/>
          <w:b/>
          <w:bCs/>
          <w:color w:val="487D37"/>
        </w:rPr>
        <w:t>SCOPE</w:t>
      </w:r>
    </w:p>
    <w:p w14:paraId="5B6448AC" w14:textId="77777777" w:rsidR="00364AAF" w:rsidRPr="0004391C" w:rsidRDefault="00364AAF" w:rsidP="00364AAF">
      <w:pPr>
        <w:rPr>
          <w:rFonts w:ascii="Arial" w:hAnsi="Arial" w:cs="Arial"/>
        </w:rPr>
      </w:pPr>
      <w:r w:rsidRPr="0004391C">
        <w:rPr>
          <w:rFonts w:ascii="Arial" w:hAnsi="Arial" w:cs="Arial"/>
        </w:rPr>
        <w:t>This policy applies to any person who is, or has been, any of the following with respect to SRA:</w:t>
      </w:r>
    </w:p>
    <w:p w14:paraId="3144CBB2" w14:textId="77777777" w:rsidR="00364AAF" w:rsidRPr="0004391C" w:rsidRDefault="00364AAF" w:rsidP="00364AAF">
      <w:pPr>
        <w:numPr>
          <w:ilvl w:val="0"/>
          <w:numId w:val="3"/>
        </w:numPr>
        <w:spacing w:after="0" w:line="240" w:lineRule="auto"/>
        <w:rPr>
          <w:rFonts w:ascii="Arial" w:hAnsi="Arial" w:cs="Arial"/>
        </w:rPr>
      </w:pPr>
      <w:r w:rsidRPr="0004391C">
        <w:rPr>
          <w:rFonts w:ascii="Arial" w:hAnsi="Arial" w:cs="Arial"/>
        </w:rPr>
        <w:t xml:space="preserve">Employee or officer of </w:t>
      </w:r>
      <w:proofErr w:type="gramStart"/>
      <w:r w:rsidRPr="0004391C">
        <w:rPr>
          <w:rFonts w:ascii="Arial" w:hAnsi="Arial" w:cs="Arial"/>
        </w:rPr>
        <w:t>SRA;</w:t>
      </w:r>
      <w:proofErr w:type="gramEnd"/>
      <w:r w:rsidRPr="0004391C">
        <w:rPr>
          <w:rFonts w:ascii="Arial" w:hAnsi="Arial" w:cs="Arial"/>
        </w:rPr>
        <w:t xml:space="preserve"> </w:t>
      </w:r>
    </w:p>
    <w:p w14:paraId="37474401" w14:textId="77777777" w:rsidR="00364AAF" w:rsidRPr="0004391C" w:rsidRDefault="00364AAF" w:rsidP="00364AAF">
      <w:pPr>
        <w:numPr>
          <w:ilvl w:val="0"/>
          <w:numId w:val="3"/>
        </w:numPr>
        <w:spacing w:after="0" w:line="240" w:lineRule="auto"/>
        <w:rPr>
          <w:rFonts w:ascii="Arial" w:hAnsi="Arial" w:cs="Arial"/>
        </w:rPr>
      </w:pPr>
      <w:r w:rsidRPr="0004391C">
        <w:rPr>
          <w:rFonts w:ascii="Arial" w:hAnsi="Arial" w:cs="Arial"/>
        </w:rPr>
        <w:t xml:space="preserve">Managing Director and </w:t>
      </w:r>
      <w:proofErr w:type="gramStart"/>
      <w:r w:rsidRPr="0004391C">
        <w:rPr>
          <w:rFonts w:ascii="Arial" w:hAnsi="Arial" w:cs="Arial"/>
        </w:rPr>
        <w:t>CEO;</w:t>
      </w:r>
      <w:proofErr w:type="gramEnd"/>
    </w:p>
    <w:p w14:paraId="4408BA1F" w14:textId="77777777" w:rsidR="00364AAF" w:rsidRPr="0004391C" w:rsidRDefault="00364AAF" w:rsidP="00364AAF">
      <w:pPr>
        <w:numPr>
          <w:ilvl w:val="0"/>
          <w:numId w:val="3"/>
        </w:numPr>
        <w:spacing w:after="0" w:line="240" w:lineRule="auto"/>
        <w:rPr>
          <w:rFonts w:ascii="Arial" w:hAnsi="Arial" w:cs="Arial"/>
        </w:rPr>
      </w:pPr>
      <w:r w:rsidRPr="0004391C">
        <w:rPr>
          <w:rFonts w:ascii="Arial" w:hAnsi="Arial" w:cs="Arial"/>
        </w:rPr>
        <w:t>Contractor (including sub-contractors and employees of contractors</w:t>
      </w:r>
      <w:proofErr w:type="gramStart"/>
      <w:r w:rsidRPr="0004391C">
        <w:rPr>
          <w:rFonts w:ascii="Arial" w:hAnsi="Arial" w:cs="Arial"/>
        </w:rPr>
        <w:t>);</w:t>
      </w:r>
      <w:proofErr w:type="gramEnd"/>
    </w:p>
    <w:p w14:paraId="1DD91659" w14:textId="77777777" w:rsidR="00364AAF" w:rsidRPr="0004391C" w:rsidRDefault="00364AAF" w:rsidP="00364AAF">
      <w:pPr>
        <w:numPr>
          <w:ilvl w:val="0"/>
          <w:numId w:val="3"/>
        </w:numPr>
        <w:spacing w:after="0" w:line="240" w:lineRule="auto"/>
        <w:rPr>
          <w:rFonts w:ascii="Arial" w:hAnsi="Arial" w:cs="Arial"/>
        </w:rPr>
      </w:pPr>
      <w:r w:rsidRPr="0004391C">
        <w:rPr>
          <w:rFonts w:ascii="Arial" w:hAnsi="Arial" w:cs="Arial"/>
        </w:rPr>
        <w:t>Supplier (including employees of suppliers</w:t>
      </w:r>
      <w:proofErr w:type="gramStart"/>
      <w:r w:rsidRPr="0004391C">
        <w:rPr>
          <w:rFonts w:ascii="Arial" w:hAnsi="Arial" w:cs="Arial"/>
        </w:rPr>
        <w:t>);</w:t>
      </w:r>
      <w:proofErr w:type="gramEnd"/>
    </w:p>
    <w:p w14:paraId="2C3B1B11" w14:textId="77777777" w:rsidR="00364AAF" w:rsidRPr="0004391C" w:rsidRDefault="00364AAF" w:rsidP="00364AAF">
      <w:pPr>
        <w:numPr>
          <w:ilvl w:val="0"/>
          <w:numId w:val="3"/>
        </w:numPr>
        <w:spacing w:after="0" w:line="240" w:lineRule="auto"/>
        <w:rPr>
          <w:rFonts w:ascii="Arial" w:hAnsi="Arial" w:cs="Arial"/>
        </w:rPr>
      </w:pPr>
      <w:proofErr w:type="gramStart"/>
      <w:r w:rsidRPr="0004391C">
        <w:rPr>
          <w:rFonts w:ascii="Arial" w:hAnsi="Arial" w:cs="Arial"/>
        </w:rPr>
        <w:t>Auditor;</w:t>
      </w:r>
      <w:proofErr w:type="gramEnd"/>
    </w:p>
    <w:p w14:paraId="728A20A2" w14:textId="77777777" w:rsidR="00364AAF" w:rsidRDefault="00364AAF" w:rsidP="00364AAF">
      <w:pPr>
        <w:numPr>
          <w:ilvl w:val="0"/>
          <w:numId w:val="3"/>
        </w:numPr>
        <w:spacing w:after="0" w:line="240" w:lineRule="auto"/>
        <w:rPr>
          <w:rFonts w:ascii="Arial" w:hAnsi="Arial" w:cs="Arial"/>
        </w:rPr>
      </w:pPr>
      <w:r w:rsidRPr="0004391C">
        <w:rPr>
          <w:rFonts w:ascii="Arial" w:hAnsi="Arial" w:cs="Arial"/>
        </w:rPr>
        <w:t>Relative, dependant, spouse, or dependant of a spouse of any of the above.</w:t>
      </w:r>
    </w:p>
    <w:p w14:paraId="46A2DA12" w14:textId="77777777" w:rsidR="0004391C" w:rsidRDefault="0004391C" w:rsidP="0004391C">
      <w:pPr>
        <w:spacing w:after="0" w:line="240" w:lineRule="auto"/>
        <w:ind w:left="720"/>
        <w:rPr>
          <w:rFonts w:ascii="Arial" w:hAnsi="Arial" w:cs="Arial"/>
        </w:rPr>
      </w:pPr>
    </w:p>
    <w:p w14:paraId="141F0F02" w14:textId="77777777" w:rsidR="0004391C" w:rsidRDefault="0004391C" w:rsidP="0004391C">
      <w:pPr>
        <w:spacing w:after="0" w:line="240" w:lineRule="auto"/>
        <w:ind w:left="720"/>
        <w:rPr>
          <w:rFonts w:ascii="Arial" w:hAnsi="Arial" w:cs="Arial"/>
        </w:rPr>
      </w:pPr>
    </w:p>
    <w:p w14:paraId="4C487543" w14:textId="77777777" w:rsidR="0004391C" w:rsidRDefault="0004391C" w:rsidP="0004391C">
      <w:pPr>
        <w:spacing w:after="0" w:line="240" w:lineRule="auto"/>
        <w:ind w:left="720"/>
        <w:rPr>
          <w:rFonts w:ascii="Arial" w:hAnsi="Arial" w:cs="Arial"/>
        </w:rPr>
      </w:pPr>
    </w:p>
    <w:p w14:paraId="098F4436" w14:textId="77777777" w:rsidR="0004391C" w:rsidRPr="0004391C" w:rsidRDefault="0004391C" w:rsidP="0004391C">
      <w:pPr>
        <w:spacing w:after="0" w:line="240" w:lineRule="auto"/>
        <w:ind w:left="720"/>
        <w:rPr>
          <w:rFonts w:ascii="Arial" w:hAnsi="Arial" w:cs="Arial"/>
        </w:rPr>
      </w:pPr>
    </w:p>
    <w:p w14:paraId="3721413A" w14:textId="77777777" w:rsidR="00364AAF" w:rsidRPr="0004391C" w:rsidRDefault="00364AAF" w:rsidP="00364AAF">
      <w:pPr>
        <w:spacing w:after="0" w:line="240" w:lineRule="auto"/>
        <w:ind w:left="720"/>
        <w:rPr>
          <w:rFonts w:ascii="Arial" w:hAnsi="Arial" w:cs="Arial"/>
        </w:rPr>
      </w:pPr>
    </w:p>
    <w:p w14:paraId="3812CF4D" w14:textId="77777777" w:rsidR="00364AAF" w:rsidRPr="0004391C" w:rsidRDefault="00364AAF" w:rsidP="00364AAF">
      <w:pPr>
        <w:rPr>
          <w:rFonts w:ascii="Arial" w:hAnsi="Arial" w:cs="Arial"/>
          <w:b/>
          <w:bCs/>
          <w:color w:val="487D37"/>
        </w:rPr>
      </w:pPr>
      <w:r w:rsidRPr="0004391C">
        <w:rPr>
          <w:rFonts w:ascii="Arial" w:hAnsi="Arial" w:cs="Arial"/>
          <w:b/>
          <w:bCs/>
          <w:color w:val="487D37"/>
        </w:rPr>
        <w:lastRenderedPageBreak/>
        <w:t>REPORTABLE CONDUCT</w:t>
      </w:r>
    </w:p>
    <w:p w14:paraId="44A79EE7" w14:textId="77777777" w:rsidR="00364AAF" w:rsidRPr="0004391C" w:rsidRDefault="00364AAF" w:rsidP="00364AAF">
      <w:pPr>
        <w:rPr>
          <w:rFonts w:ascii="Arial" w:hAnsi="Arial" w:cs="Arial"/>
        </w:rPr>
      </w:pPr>
      <w:r w:rsidRPr="0004391C">
        <w:rPr>
          <w:rFonts w:ascii="Arial" w:hAnsi="Arial" w:cs="Arial"/>
        </w:rPr>
        <w:t>You may make a report or disclosure under this policy if you have reasonable grounds to believe that a Company Manager, Director, officer, employee, contractor, supplier, consultant or other person who has business dealings with SRA has engaged in conduct (‘Reportable Conduct’) which is:</w:t>
      </w:r>
    </w:p>
    <w:p w14:paraId="6D87ED44"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Dishonest, fraudulent or </w:t>
      </w:r>
      <w:proofErr w:type="gramStart"/>
      <w:r w:rsidRPr="0004391C">
        <w:rPr>
          <w:rFonts w:ascii="Arial" w:hAnsi="Arial" w:cs="Arial"/>
        </w:rPr>
        <w:t>corrupt;</w:t>
      </w:r>
      <w:proofErr w:type="gramEnd"/>
    </w:p>
    <w:p w14:paraId="12A63262"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Illegal (such as theft, dealing in or use of illicit drugs, violence or threatened violence and criminal damage to property</w:t>
      </w:r>
      <w:proofErr w:type="gramStart"/>
      <w:r w:rsidRPr="0004391C">
        <w:rPr>
          <w:rFonts w:ascii="Arial" w:hAnsi="Arial" w:cs="Arial"/>
        </w:rPr>
        <w:t>);</w:t>
      </w:r>
      <w:proofErr w:type="gramEnd"/>
    </w:p>
    <w:p w14:paraId="0CE783A4"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Unethical including any breach of SRA’s policies such as the Code of Conduct; Oppressive or grossly </w:t>
      </w:r>
      <w:proofErr w:type="gramStart"/>
      <w:r w:rsidRPr="0004391C">
        <w:rPr>
          <w:rFonts w:ascii="Arial" w:hAnsi="Arial" w:cs="Arial"/>
        </w:rPr>
        <w:t>negligent;</w:t>
      </w:r>
      <w:proofErr w:type="gramEnd"/>
    </w:p>
    <w:p w14:paraId="28B1DA3C"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Potentially damaging to SRA, its employees or a third </w:t>
      </w:r>
      <w:proofErr w:type="gramStart"/>
      <w:r w:rsidRPr="0004391C">
        <w:rPr>
          <w:rFonts w:ascii="Arial" w:hAnsi="Arial" w:cs="Arial"/>
        </w:rPr>
        <w:t>party;</w:t>
      </w:r>
      <w:proofErr w:type="gramEnd"/>
    </w:p>
    <w:p w14:paraId="4A0DF75A"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Misconduct or an improper state of </w:t>
      </w:r>
      <w:proofErr w:type="gramStart"/>
      <w:r w:rsidRPr="0004391C">
        <w:rPr>
          <w:rFonts w:ascii="Arial" w:hAnsi="Arial" w:cs="Arial"/>
        </w:rPr>
        <w:t>affairs;</w:t>
      </w:r>
      <w:proofErr w:type="gramEnd"/>
    </w:p>
    <w:p w14:paraId="14D72372"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A danger, or represents a danger to the public or financial </w:t>
      </w:r>
      <w:proofErr w:type="gramStart"/>
      <w:r w:rsidRPr="0004391C">
        <w:rPr>
          <w:rFonts w:ascii="Arial" w:hAnsi="Arial" w:cs="Arial"/>
        </w:rPr>
        <w:t>system;</w:t>
      </w:r>
      <w:proofErr w:type="gramEnd"/>
    </w:p>
    <w:p w14:paraId="1C778789"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Harassment, discrimination, victimisation or bullying</w:t>
      </w:r>
    </w:p>
    <w:p w14:paraId="3097524F" w14:textId="77777777" w:rsidR="00364AAF" w:rsidRPr="0004391C" w:rsidRDefault="00364AAF" w:rsidP="00364AAF">
      <w:pPr>
        <w:numPr>
          <w:ilvl w:val="0"/>
          <w:numId w:val="4"/>
        </w:numPr>
        <w:spacing w:after="0" w:line="240" w:lineRule="auto"/>
        <w:rPr>
          <w:rFonts w:ascii="Arial" w:hAnsi="Arial" w:cs="Arial"/>
        </w:rPr>
      </w:pPr>
      <w:r w:rsidRPr="0004391C">
        <w:rPr>
          <w:rFonts w:ascii="Arial" w:hAnsi="Arial" w:cs="Arial"/>
        </w:rPr>
        <w:t xml:space="preserve">Involves any other kind of misconduct or an improper </w:t>
      </w:r>
      <w:proofErr w:type="gramStart"/>
      <w:r w:rsidRPr="0004391C">
        <w:rPr>
          <w:rFonts w:ascii="Arial" w:hAnsi="Arial" w:cs="Arial"/>
        </w:rPr>
        <w:t>state of affairs</w:t>
      </w:r>
      <w:proofErr w:type="gramEnd"/>
      <w:r w:rsidRPr="0004391C">
        <w:rPr>
          <w:rFonts w:ascii="Arial" w:hAnsi="Arial" w:cs="Arial"/>
        </w:rPr>
        <w:t xml:space="preserve"> or circumstances.</w:t>
      </w:r>
    </w:p>
    <w:p w14:paraId="4CED8A8C" w14:textId="77777777" w:rsidR="00212D1F" w:rsidRPr="0004391C" w:rsidRDefault="00212D1F" w:rsidP="00212D1F">
      <w:pPr>
        <w:spacing w:after="0" w:line="240" w:lineRule="auto"/>
        <w:ind w:left="720"/>
        <w:rPr>
          <w:rFonts w:ascii="Arial" w:hAnsi="Arial" w:cs="Arial"/>
        </w:rPr>
      </w:pPr>
    </w:p>
    <w:p w14:paraId="561ECFD3" w14:textId="77777777" w:rsidR="00364AAF" w:rsidRPr="0004391C" w:rsidRDefault="00364AAF" w:rsidP="00E052B1">
      <w:pPr>
        <w:spacing w:after="0" w:line="240" w:lineRule="auto"/>
        <w:ind w:left="720"/>
        <w:rPr>
          <w:rFonts w:ascii="Arial" w:hAnsi="Arial" w:cs="Arial"/>
        </w:rPr>
      </w:pPr>
    </w:p>
    <w:p w14:paraId="6E73ED43" w14:textId="77777777" w:rsidR="00364AAF" w:rsidRPr="0004391C" w:rsidRDefault="00364AAF" w:rsidP="00364AAF">
      <w:pPr>
        <w:rPr>
          <w:rFonts w:ascii="Arial" w:hAnsi="Arial" w:cs="Arial"/>
          <w:b/>
          <w:bCs/>
          <w:color w:val="487D37"/>
        </w:rPr>
      </w:pPr>
      <w:r w:rsidRPr="0004391C">
        <w:rPr>
          <w:rFonts w:ascii="Arial" w:hAnsi="Arial" w:cs="Arial"/>
          <w:b/>
          <w:bCs/>
          <w:color w:val="487D37"/>
        </w:rPr>
        <w:t>MAKING A DISCLOSURE</w:t>
      </w:r>
    </w:p>
    <w:p w14:paraId="70622231" w14:textId="77777777" w:rsidR="00364AAF" w:rsidRPr="0004391C" w:rsidRDefault="00364AAF" w:rsidP="00364AAF">
      <w:pPr>
        <w:rPr>
          <w:rFonts w:ascii="Arial" w:hAnsi="Arial" w:cs="Arial"/>
        </w:rPr>
      </w:pPr>
      <w:r w:rsidRPr="0004391C">
        <w:rPr>
          <w:rFonts w:ascii="Arial" w:hAnsi="Arial" w:cs="Arial"/>
        </w:rPr>
        <w:t>SRA relies on its employees maintaining a culture of honest and ethical behaviour. Accordingly, if you become aware of any Reportable Conduct, it is expected that you will make a disclosure under this policy.</w:t>
      </w:r>
    </w:p>
    <w:bookmarkEnd w:id="0"/>
    <w:p w14:paraId="375145C2" w14:textId="77777777" w:rsidR="0004391C" w:rsidRPr="0004391C" w:rsidRDefault="0004391C" w:rsidP="0004391C">
      <w:pPr>
        <w:ind w:right="686"/>
        <w:jc w:val="both"/>
        <w:rPr>
          <w:rFonts w:ascii="Arial" w:hAnsi="Arial" w:cs="Arial"/>
        </w:rPr>
      </w:pPr>
      <w:r w:rsidRPr="0004391C">
        <w:rPr>
          <w:rFonts w:ascii="Arial" w:hAnsi="Arial" w:cs="Arial"/>
        </w:rPr>
        <w:t>There are several ways in which you may report or disclose any issue or behaviour which you consider to be Reportable Conduct.</w:t>
      </w:r>
    </w:p>
    <w:p w14:paraId="43EDEACF" w14:textId="77777777" w:rsidR="0004391C" w:rsidRPr="0004391C" w:rsidRDefault="0004391C" w:rsidP="0004391C">
      <w:pPr>
        <w:ind w:right="686"/>
        <w:jc w:val="both"/>
        <w:rPr>
          <w:rFonts w:ascii="Arial" w:hAnsi="Arial" w:cs="Arial"/>
        </w:rPr>
      </w:pPr>
      <w:r w:rsidRPr="0004391C">
        <w:rPr>
          <w:rFonts w:ascii="Arial" w:hAnsi="Arial" w:cs="Arial"/>
        </w:rPr>
        <w:t>Internal Reporting</w:t>
      </w:r>
    </w:p>
    <w:p w14:paraId="1955DE0B" w14:textId="77777777" w:rsidR="0004391C" w:rsidRPr="0004391C" w:rsidRDefault="0004391C" w:rsidP="0004391C">
      <w:pPr>
        <w:ind w:right="686"/>
        <w:jc w:val="both"/>
        <w:rPr>
          <w:rFonts w:ascii="Arial" w:hAnsi="Arial" w:cs="Arial"/>
        </w:rPr>
      </w:pPr>
      <w:r w:rsidRPr="0004391C">
        <w:rPr>
          <w:rFonts w:ascii="Arial" w:hAnsi="Arial" w:cs="Arial"/>
        </w:rPr>
        <w:t>You may disclose any Reportable Conduct to the Whistleblower Protection Officers listed below:</w:t>
      </w:r>
    </w:p>
    <w:p w14:paraId="0E34137B" w14:textId="649DBEF0" w:rsidR="0004391C" w:rsidRPr="0004391C" w:rsidRDefault="0004391C" w:rsidP="0004391C">
      <w:pPr>
        <w:ind w:right="686"/>
        <w:jc w:val="both"/>
        <w:rPr>
          <w:rFonts w:ascii="Arial" w:hAnsi="Arial" w:cs="Arial"/>
          <w:i/>
          <w:iCs/>
        </w:rPr>
      </w:pPr>
      <w:r w:rsidRPr="0004391C">
        <w:rPr>
          <w:rFonts w:ascii="Arial" w:hAnsi="Arial" w:cs="Arial"/>
          <w:i/>
          <w:iCs/>
        </w:rPr>
        <w:t>● Title:</w:t>
      </w:r>
      <w:r w:rsidR="007B707F">
        <w:rPr>
          <w:rFonts w:ascii="Arial" w:hAnsi="Arial" w:cs="Arial"/>
          <w:i/>
          <w:iCs/>
        </w:rPr>
        <w:t xml:space="preserve"> Executive Assistant </w:t>
      </w:r>
    </w:p>
    <w:p w14:paraId="7EDC1418" w14:textId="0891B1E1" w:rsidR="0004391C" w:rsidRPr="0004391C" w:rsidRDefault="0004391C" w:rsidP="0004391C">
      <w:pPr>
        <w:ind w:right="686"/>
        <w:jc w:val="both"/>
        <w:rPr>
          <w:rFonts w:ascii="Arial" w:hAnsi="Arial" w:cs="Arial"/>
        </w:rPr>
      </w:pPr>
      <w:r w:rsidRPr="0004391C">
        <w:rPr>
          <w:rFonts w:ascii="Arial" w:hAnsi="Arial" w:cs="Arial"/>
        </w:rPr>
        <w:t xml:space="preserve">Name: </w:t>
      </w:r>
      <w:r w:rsidR="007B707F">
        <w:rPr>
          <w:rFonts w:ascii="Arial" w:hAnsi="Arial" w:cs="Arial"/>
        </w:rPr>
        <w:t xml:space="preserve">Michelle Straton </w:t>
      </w:r>
    </w:p>
    <w:p w14:paraId="0F0BD247" w14:textId="6667C1CF" w:rsidR="006667B9" w:rsidRPr="0004391C" w:rsidRDefault="0004391C" w:rsidP="0004391C">
      <w:pPr>
        <w:ind w:right="686"/>
        <w:jc w:val="both"/>
        <w:rPr>
          <w:rFonts w:ascii="Arial" w:hAnsi="Arial" w:cs="Arial"/>
        </w:rPr>
      </w:pPr>
      <w:r w:rsidRPr="00E64DCC">
        <w:rPr>
          <w:rFonts w:ascii="Arial" w:hAnsi="Arial" w:cs="Arial"/>
        </w:rPr>
        <w:t>Email Address: </w:t>
      </w:r>
      <w:hyperlink r:id="rId7" w:history="1">
        <w:r w:rsidR="00E64DCC" w:rsidRPr="0040077D">
          <w:rPr>
            <w:rStyle w:val="Hyperlink"/>
            <w:rFonts w:ascii="Arial" w:hAnsi="Arial" w:cs="Arial"/>
          </w:rPr>
          <w:t>mstraton@silicaresources.com.au</w:t>
        </w:r>
      </w:hyperlink>
    </w:p>
    <w:p w14:paraId="11F22F02" w14:textId="77777777" w:rsidR="0004391C" w:rsidRPr="0004391C" w:rsidRDefault="0004391C" w:rsidP="0004391C">
      <w:pPr>
        <w:ind w:right="686"/>
        <w:jc w:val="both"/>
        <w:rPr>
          <w:rFonts w:ascii="Arial" w:hAnsi="Arial" w:cs="Arial"/>
          <w:i/>
          <w:iCs/>
        </w:rPr>
      </w:pPr>
      <w:r w:rsidRPr="0004391C">
        <w:rPr>
          <w:rFonts w:ascii="Arial" w:hAnsi="Arial" w:cs="Arial"/>
          <w:i/>
          <w:iCs/>
        </w:rPr>
        <w:t>● Title: Managing Director</w:t>
      </w:r>
    </w:p>
    <w:p w14:paraId="13021C0C" w14:textId="77777777" w:rsidR="0004391C" w:rsidRPr="0004391C" w:rsidRDefault="0004391C" w:rsidP="0004391C">
      <w:pPr>
        <w:ind w:right="686"/>
        <w:jc w:val="both"/>
        <w:rPr>
          <w:rFonts w:ascii="Arial" w:hAnsi="Arial" w:cs="Arial"/>
        </w:rPr>
      </w:pPr>
      <w:r w:rsidRPr="0004391C">
        <w:rPr>
          <w:rFonts w:ascii="Arial" w:hAnsi="Arial" w:cs="Arial"/>
        </w:rPr>
        <w:t>Name: Robert Tindall</w:t>
      </w:r>
    </w:p>
    <w:p w14:paraId="52FAB44D" w14:textId="7C9920E6" w:rsidR="0004391C" w:rsidRPr="0004391C" w:rsidRDefault="0004391C" w:rsidP="0004391C">
      <w:pPr>
        <w:ind w:right="686"/>
        <w:jc w:val="both"/>
        <w:rPr>
          <w:rFonts w:ascii="Arial" w:hAnsi="Arial" w:cs="Arial"/>
        </w:rPr>
      </w:pPr>
      <w:r w:rsidRPr="0004391C">
        <w:rPr>
          <w:rFonts w:ascii="Arial" w:hAnsi="Arial" w:cs="Arial"/>
        </w:rPr>
        <w:t>Phone Number: 0457 999 094</w:t>
      </w:r>
    </w:p>
    <w:p w14:paraId="76E3D3CC" w14:textId="77777777" w:rsidR="0004391C" w:rsidRPr="0004391C" w:rsidRDefault="0004391C" w:rsidP="0004391C">
      <w:pPr>
        <w:ind w:right="686"/>
        <w:jc w:val="both"/>
        <w:rPr>
          <w:rFonts w:ascii="Arial" w:hAnsi="Arial" w:cs="Arial"/>
        </w:rPr>
      </w:pPr>
      <w:r w:rsidRPr="0004391C">
        <w:rPr>
          <w:rFonts w:ascii="Arial" w:hAnsi="Arial" w:cs="Arial"/>
        </w:rPr>
        <w:t xml:space="preserve">Email Address:  </w:t>
      </w:r>
      <w:hyperlink r:id="rId8" w:history="1">
        <w:r w:rsidRPr="0004391C">
          <w:rPr>
            <w:rStyle w:val="Hyperlink"/>
            <w:rFonts w:ascii="Arial" w:hAnsi="Arial" w:cs="Arial"/>
          </w:rPr>
          <w:t>rtindall@silicaresources.com.au</w:t>
        </w:r>
      </w:hyperlink>
    </w:p>
    <w:p w14:paraId="1D41338B" w14:textId="77777777" w:rsidR="0004391C" w:rsidRDefault="0004391C" w:rsidP="0004391C">
      <w:pPr>
        <w:ind w:right="686"/>
        <w:jc w:val="both"/>
        <w:rPr>
          <w:rFonts w:ascii="Arial" w:hAnsi="Arial" w:cs="Arial"/>
        </w:rPr>
      </w:pPr>
      <w:r w:rsidRPr="0004391C">
        <w:rPr>
          <w:rFonts w:ascii="Arial" w:hAnsi="Arial" w:cs="Arial"/>
        </w:rPr>
        <w:t>The Whistleblower Protection Officer or eligible recipient will safeguard your interests and will ensure the integrity of the reporting mechanism.</w:t>
      </w:r>
    </w:p>
    <w:p w14:paraId="4B68D75B" w14:textId="77777777" w:rsidR="0004391C" w:rsidRPr="0004391C" w:rsidRDefault="0004391C" w:rsidP="0004391C">
      <w:pPr>
        <w:ind w:right="686"/>
        <w:jc w:val="both"/>
        <w:rPr>
          <w:rFonts w:ascii="Arial" w:hAnsi="Arial" w:cs="Arial"/>
        </w:rPr>
      </w:pPr>
    </w:p>
    <w:p w14:paraId="69632DD7" w14:textId="77777777" w:rsidR="0004391C" w:rsidRPr="0004391C" w:rsidRDefault="0004391C" w:rsidP="0004391C">
      <w:pPr>
        <w:ind w:right="686"/>
        <w:jc w:val="both"/>
        <w:rPr>
          <w:rFonts w:ascii="Arial" w:hAnsi="Arial" w:cs="Arial"/>
          <w:b/>
          <w:bCs/>
        </w:rPr>
      </w:pPr>
      <w:r w:rsidRPr="0004391C">
        <w:rPr>
          <w:rFonts w:ascii="Arial" w:hAnsi="Arial" w:cs="Arial"/>
          <w:b/>
          <w:bCs/>
        </w:rPr>
        <w:t>Anonymity</w:t>
      </w:r>
    </w:p>
    <w:p w14:paraId="1CE282D9" w14:textId="77777777" w:rsidR="0004391C" w:rsidRPr="0004391C" w:rsidRDefault="0004391C" w:rsidP="0004391C">
      <w:pPr>
        <w:ind w:right="686"/>
        <w:jc w:val="both"/>
        <w:rPr>
          <w:rFonts w:ascii="Arial" w:hAnsi="Arial" w:cs="Arial"/>
        </w:rPr>
      </w:pPr>
      <w:r w:rsidRPr="0004391C">
        <w:rPr>
          <w:rFonts w:ascii="Arial" w:hAnsi="Arial" w:cs="Arial"/>
        </w:rPr>
        <w:t xml:space="preserve">When making a disclosure, you may do so anonymously. It may be difficult for SRA to properly investigate the matters disclosed if a report is submitted anonymously and therefore </w:t>
      </w:r>
      <w:r w:rsidRPr="0004391C">
        <w:rPr>
          <w:rFonts w:ascii="Arial" w:hAnsi="Arial" w:cs="Arial"/>
        </w:rPr>
        <w:lastRenderedPageBreak/>
        <w:t>SRA encourages you to share your identity when making a disclosure, however you are not required to do so.</w:t>
      </w:r>
    </w:p>
    <w:p w14:paraId="38C28E55" w14:textId="77777777" w:rsidR="0004391C" w:rsidRPr="0004391C" w:rsidRDefault="0004391C" w:rsidP="0004391C">
      <w:pPr>
        <w:ind w:right="686"/>
        <w:jc w:val="both"/>
        <w:rPr>
          <w:rFonts w:ascii="Arial" w:hAnsi="Arial" w:cs="Arial"/>
          <w:b/>
          <w:bCs/>
        </w:rPr>
      </w:pPr>
      <w:r w:rsidRPr="0004391C">
        <w:rPr>
          <w:rFonts w:ascii="Arial" w:hAnsi="Arial" w:cs="Arial"/>
          <w:b/>
          <w:bCs/>
        </w:rPr>
        <w:t>Reporting to Regulators</w:t>
      </w:r>
    </w:p>
    <w:p w14:paraId="1ADB2201" w14:textId="77777777" w:rsidR="0004391C" w:rsidRPr="0004391C" w:rsidRDefault="0004391C" w:rsidP="0004391C">
      <w:pPr>
        <w:ind w:right="686"/>
        <w:jc w:val="both"/>
        <w:rPr>
          <w:rFonts w:ascii="Arial" w:hAnsi="Arial" w:cs="Arial"/>
        </w:rPr>
      </w:pPr>
      <w:r w:rsidRPr="0004391C">
        <w:rPr>
          <w:rFonts w:ascii="Arial" w:hAnsi="Arial" w:cs="Arial"/>
        </w:rPr>
        <w:t>You may also make a disclosure to the Australian Securities and Investments Commission (ASIC) or the Australian Prudential Regulation Authority (APRA) in relation to a Reportable Conduct. You will be covered by the protections outlined in this policy if you have reported your concerns to ASIC or APRA.</w:t>
      </w:r>
    </w:p>
    <w:p w14:paraId="0E2D7F25" w14:textId="77777777" w:rsidR="0004391C" w:rsidRPr="0004391C" w:rsidRDefault="0004391C" w:rsidP="0004391C">
      <w:pPr>
        <w:ind w:left="1530" w:right="686"/>
        <w:jc w:val="both"/>
        <w:rPr>
          <w:rFonts w:ascii="Arial" w:hAnsi="Arial" w:cs="Arial"/>
        </w:rPr>
      </w:pPr>
    </w:p>
    <w:p w14:paraId="1B86797C" w14:textId="77777777" w:rsidR="0004391C" w:rsidRPr="0004391C" w:rsidRDefault="0004391C" w:rsidP="0004391C">
      <w:pPr>
        <w:ind w:right="686"/>
        <w:jc w:val="both"/>
        <w:rPr>
          <w:rFonts w:ascii="Arial" w:hAnsi="Arial" w:cs="Arial"/>
          <w:b/>
          <w:bCs/>
          <w:color w:val="487D37"/>
        </w:rPr>
      </w:pPr>
      <w:r w:rsidRPr="0004391C">
        <w:rPr>
          <w:rFonts w:ascii="Arial" w:hAnsi="Arial" w:cs="Arial"/>
          <w:b/>
          <w:bCs/>
          <w:color w:val="487D37"/>
        </w:rPr>
        <w:t>INVESTIGATION</w:t>
      </w:r>
    </w:p>
    <w:p w14:paraId="10EF4ED6" w14:textId="77777777" w:rsidR="0004391C" w:rsidRPr="0004391C" w:rsidRDefault="0004391C" w:rsidP="0004391C">
      <w:pPr>
        <w:ind w:right="686"/>
        <w:jc w:val="both"/>
        <w:rPr>
          <w:rFonts w:ascii="Arial" w:hAnsi="Arial" w:cs="Arial"/>
        </w:rPr>
      </w:pPr>
      <w:r w:rsidRPr="0004391C">
        <w:rPr>
          <w:rFonts w:ascii="Arial" w:hAnsi="Arial" w:cs="Arial"/>
        </w:rPr>
        <w:t>SRA will investigate all matters reported under this policy as soon as practicable after the matter has been reported. An appropriate investigator will investigate the matter and where necessary, appoint an external investigator to assist in conducting the investigation. All investigations will be conducted in a fair, independent and timely manner and all reasonable efforts will be made to preserve confidentiality during the investigation.</w:t>
      </w:r>
    </w:p>
    <w:p w14:paraId="222C6744" w14:textId="77777777" w:rsidR="0004391C" w:rsidRPr="0004391C" w:rsidRDefault="0004391C" w:rsidP="0004391C">
      <w:pPr>
        <w:ind w:right="686"/>
        <w:jc w:val="both"/>
        <w:rPr>
          <w:rFonts w:ascii="Arial" w:hAnsi="Arial" w:cs="Arial"/>
        </w:rPr>
      </w:pPr>
    </w:p>
    <w:p w14:paraId="6760B172" w14:textId="77777777" w:rsidR="0004391C" w:rsidRPr="0004391C" w:rsidRDefault="0004391C" w:rsidP="0004391C">
      <w:pPr>
        <w:ind w:right="686"/>
        <w:jc w:val="both"/>
        <w:rPr>
          <w:rFonts w:ascii="Arial" w:hAnsi="Arial" w:cs="Arial"/>
          <w:b/>
          <w:bCs/>
          <w:color w:val="487D37"/>
        </w:rPr>
      </w:pPr>
      <w:r w:rsidRPr="0004391C">
        <w:rPr>
          <w:rFonts w:ascii="Arial" w:hAnsi="Arial" w:cs="Arial"/>
          <w:b/>
          <w:bCs/>
          <w:color w:val="487D37"/>
        </w:rPr>
        <w:t>PROTECTION OF WHISTLEBLOWERS</w:t>
      </w:r>
    </w:p>
    <w:p w14:paraId="03844E04" w14:textId="77777777" w:rsidR="0004391C" w:rsidRDefault="0004391C" w:rsidP="0004391C">
      <w:pPr>
        <w:ind w:right="686"/>
        <w:jc w:val="both"/>
        <w:rPr>
          <w:rFonts w:ascii="Arial" w:hAnsi="Arial" w:cs="Arial"/>
        </w:rPr>
      </w:pPr>
      <w:r w:rsidRPr="0004391C">
        <w:rPr>
          <w:rFonts w:ascii="Arial" w:hAnsi="Arial" w:cs="Arial"/>
        </w:rPr>
        <w:t>SRA is committed to ensuring that any person who makes a disclosure is treated fairly and does not suffer detriment and that confidentiality is preserved in respect of all matters raised under this policy.</w:t>
      </w:r>
    </w:p>
    <w:p w14:paraId="3F52929F" w14:textId="77777777" w:rsidR="00D44935" w:rsidRPr="0004391C" w:rsidRDefault="00D44935" w:rsidP="0004391C">
      <w:pPr>
        <w:ind w:right="686"/>
        <w:jc w:val="both"/>
        <w:rPr>
          <w:rFonts w:ascii="Arial" w:hAnsi="Arial" w:cs="Arial"/>
        </w:rPr>
      </w:pPr>
    </w:p>
    <w:p w14:paraId="05B19CA4" w14:textId="77777777" w:rsidR="0004391C" w:rsidRPr="0004391C" w:rsidRDefault="0004391C" w:rsidP="0004391C">
      <w:pPr>
        <w:ind w:right="686"/>
        <w:jc w:val="both"/>
        <w:rPr>
          <w:rFonts w:ascii="Arial" w:hAnsi="Arial" w:cs="Arial"/>
          <w:b/>
          <w:bCs/>
        </w:rPr>
      </w:pPr>
      <w:r w:rsidRPr="0004391C">
        <w:rPr>
          <w:rFonts w:ascii="Arial" w:hAnsi="Arial" w:cs="Arial"/>
          <w:b/>
          <w:bCs/>
        </w:rPr>
        <w:t>Protection from Legal Action</w:t>
      </w:r>
    </w:p>
    <w:p w14:paraId="09D2E100" w14:textId="77777777" w:rsidR="0004391C" w:rsidRPr="0004391C" w:rsidRDefault="0004391C" w:rsidP="0004391C">
      <w:pPr>
        <w:ind w:right="686"/>
        <w:jc w:val="both"/>
        <w:rPr>
          <w:rFonts w:ascii="Arial" w:hAnsi="Arial" w:cs="Arial"/>
        </w:rPr>
      </w:pPr>
      <w:r w:rsidRPr="0004391C">
        <w:rPr>
          <w:rFonts w:ascii="Arial" w:hAnsi="Arial" w:cs="Arial"/>
        </w:rPr>
        <w:t>You will not be subject to any civil, criminal or administrative legal action (including disciplinary action) for making a disclosure under this policy or participating in any investigation.</w:t>
      </w:r>
    </w:p>
    <w:p w14:paraId="7A0E70EC" w14:textId="77777777" w:rsidR="0004391C" w:rsidRPr="0004391C" w:rsidRDefault="0004391C" w:rsidP="0004391C">
      <w:pPr>
        <w:ind w:right="686"/>
        <w:jc w:val="both"/>
        <w:rPr>
          <w:rFonts w:ascii="Arial" w:hAnsi="Arial" w:cs="Arial"/>
        </w:rPr>
      </w:pPr>
      <w:r w:rsidRPr="0004391C">
        <w:rPr>
          <w:rFonts w:ascii="Arial" w:hAnsi="Arial" w:cs="Arial"/>
        </w:rPr>
        <w:t>Any information you provide will not be admissible in any criminal or civil proceedings other than for proceedings in respect of the falsity of the information.</w:t>
      </w:r>
    </w:p>
    <w:p w14:paraId="170F0938" w14:textId="77777777" w:rsidR="0004391C" w:rsidRPr="0004391C" w:rsidRDefault="0004391C" w:rsidP="0004391C">
      <w:pPr>
        <w:ind w:right="686"/>
        <w:jc w:val="both"/>
        <w:rPr>
          <w:rFonts w:ascii="Arial" w:hAnsi="Arial" w:cs="Arial"/>
          <w:b/>
          <w:bCs/>
        </w:rPr>
      </w:pPr>
      <w:r w:rsidRPr="0004391C">
        <w:rPr>
          <w:rFonts w:ascii="Arial" w:hAnsi="Arial" w:cs="Arial"/>
          <w:b/>
          <w:bCs/>
        </w:rPr>
        <w:t>Protection against Detrimental Conduct</w:t>
      </w:r>
    </w:p>
    <w:p w14:paraId="36E16A02" w14:textId="77777777" w:rsidR="0004391C" w:rsidRPr="0004391C" w:rsidRDefault="0004391C" w:rsidP="0004391C">
      <w:pPr>
        <w:ind w:right="686"/>
        <w:jc w:val="both"/>
        <w:rPr>
          <w:rFonts w:ascii="Arial" w:hAnsi="Arial" w:cs="Arial"/>
        </w:rPr>
      </w:pPr>
      <w:r w:rsidRPr="0004391C">
        <w:rPr>
          <w:rFonts w:ascii="Arial" w:hAnsi="Arial" w:cs="Arial"/>
        </w:rPr>
        <w:t>SRA (or any person engaged by SRA) will not engage in ‘Detrimental Conduct’ against you if you have made a disclosure under this policy.</w:t>
      </w:r>
    </w:p>
    <w:p w14:paraId="06C79989" w14:textId="77777777" w:rsidR="0004391C" w:rsidRPr="0004391C" w:rsidRDefault="0004391C" w:rsidP="0004391C">
      <w:pPr>
        <w:ind w:right="686"/>
        <w:jc w:val="both"/>
        <w:rPr>
          <w:rFonts w:ascii="Arial" w:hAnsi="Arial" w:cs="Arial"/>
          <w:b/>
          <w:bCs/>
        </w:rPr>
      </w:pPr>
      <w:r w:rsidRPr="0004391C">
        <w:rPr>
          <w:rFonts w:ascii="Arial" w:hAnsi="Arial" w:cs="Arial"/>
          <w:b/>
          <w:bCs/>
        </w:rPr>
        <w:t xml:space="preserve">Protection of Confidentiality </w:t>
      </w:r>
    </w:p>
    <w:p w14:paraId="3259DF02" w14:textId="77777777" w:rsidR="0004391C" w:rsidRPr="0004391C" w:rsidRDefault="0004391C" w:rsidP="0004391C">
      <w:pPr>
        <w:ind w:right="686"/>
        <w:jc w:val="both"/>
        <w:rPr>
          <w:rFonts w:ascii="Arial" w:hAnsi="Arial" w:cs="Arial"/>
        </w:rPr>
      </w:pPr>
      <w:r w:rsidRPr="0004391C">
        <w:rPr>
          <w:rFonts w:ascii="Arial" w:hAnsi="Arial" w:cs="Arial"/>
        </w:rPr>
        <w:t>All information received from you will be treated confidentially and sensitively.</w:t>
      </w:r>
    </w:p>
    <w:p w14:paraId="2C21C56D" w14:textId="3805FAAD" w:rsidR="0004391C" w:rsidRDefault="0004391C" w:rsidP="00E31D23">
      <w:pPr>
        <w:ind w:right="686"/>
        <w:jc w:val="both"/>
        <w:rPr>
          <w:rFonts w:ascii="Arial" w:hAnsi="Arial" w:cs="Arial"/>
        </w:rPr>
      </w:pPr>
      <w:r w:rsidRPr="0004391C">
        <w:rPr>
          <w:rFonts w:ascii="Arial" w:hAnsi="Arial" w:cs="Arial"/>
        </w:rPr>
        <w:t xml:space="preserve">If you make a disclosure under this policy, your identity (or any information which would likely to identify you) will only be shared </w:t>
      </w:r>
      <w:r w:rsidR="00E31D23">
        <w:rPr>
          <w:rFonts w:ascii="Arial" w:hAnsi="Arial" w:cs="Arial"/>
        </w:rPr>
        <w:t>w</w:t>
      </w:r>
      <w:r w:rsidRPr="0004391C">
        <w:rPr>
          <w:rFonts w:ascii="Arial" w:hAnsi="Arial" w:cs="Arial"/>
        </w:rPr>
        <w:t>here it is necessary to disclose information for the effective investigation of the matter, and this is likely to lead to your identification, all reasonable steps will be taken to reduce the risk that you will be identified.</w:t>
      </w:r>
    </w:p>
    <w:p w14:paraId="553B105A" w14:textId="77777777" w:rsidR="0004391C" w:rsidRPr="0004391C" w:rsidRDefault="0004391C" w:rsidP="0004391C">
      <w:pPr>
        <w:ind w:left="720" w:right="686"/>
        <w:jc w:val="both"/>
        <w:rPr>
          <w:rFonts w:ascii="Arial" w:hAnsi="Arial" w:cs="Arial"/>
        </w:rPr>
      </w:pPr>
    </w:p>
    <w:p w14:paraId="75A4D7BA" w14:textId="4F2A1C1D" w:rsidR="00212D1F" w:rsidRPr="0004391C" w:rsidRDefault="00212D1F" w:rsidP="00212D1F">
      <w:pPr>
        <w:ind w:right="686"/>
        <w:jc w:val="both"/>
        <w:rPr>
          <w:rFonts w:ascii="Arial" w:hAnsi="Arial" w:cs="Arial"/>
        </w:rPr>
      </w:pPr>
    </w:p>
    <w:p w14:paraId="1FE3E0AF" w14:textId="2A1E955C" w:rsidR="000679D8" w:rsidRPr="0004391C" w:rsidRDefault="00FC1E84" w:rsidP="006C1BD6">
      <w:pPr>
        <w:tabs>
          <w:tab w:val="center" w:pos="4808"/>
          <w:tab w:val="left" w:pos="5745"/>
        </w:tabs>
        <w:rPr>
          <w:rFonts w:ascii="Arial" w:hAnsi="Arial" w:cs="Arial"/>
        </w:rPr>
      </w:pPr>
      <w:r w:rsidRPr="0004391C">
        <w:rPr>
          <w:rFonts w:ascii="Arial" w:hAnsi="Arial" w:cs="Arial"/>
        </w:rPr>
        <w:tab/>
      </w:r>
      <w:r w:rsidR="006C1BD6" w:rsidRPr="0004391C">
        <w:rPr>
          <w:rFonts w:ascii="Arial" w:hAnsi="Arial" w:cs="Arial"/>
        </w:rPr>
        <w:tab/>
      </w:r>
    </w:p>
    <w:sectPr w:rsidR="000679D8" w:rsidRPr="0004391C" w:rsidSect="0079260D">
      <w:headerReference w:type="default" r:id="rId9"/>
      <w:footerReference w:type="default" r:id="rId10"/>
      <w:headerReference w:type="first" r:id="rId11"/>
      <w:footerReference w:type="first" r:id="rId12"/>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818C" w14:textId="77777777" w:rsidR="00627B06" w:rsidRDefault="00627B06" w:rsidP="00A121E3">
      <w:pPr>
        <w:spacing w:after="0" w:line="240" w:lineRule="auto"/>
      </w:pPr>
      <w:r>
        <w:separator/>
      </w:r>
    </w:p>
  </w:endnote>
  <w:endnote w:type="continuationSeparator" w:id="0">
    <w:p w14:paraId="1BF8A95B" w14:textId="77777777" w:rsidR="00627B06" w:rsidRDefault="00627B06" w:rsidP="00A1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7FC8" w14:textId="5C434E03" w:rsidR="0004391C" w:rsidRDefault="0004391C">
    <w:pPr>
      <w:pStyle w:val="Footer"/>
    </w:pPr>
    <w:r>
      <w:rPr>
        <w:noProof/>
      </w:rPr>
      <w:drawing>
        <wp:anchor distT="0" distB="0" distL="114300" distR="114300" simplePos="0" relativeHeight="251665408" behindDoc="0" locked="0" layoutInCell="1" allowOverlap="1" wp14:anchorId="1D14B0A5" wp14:editId="377853B8">
          <wp:simplePos x="0" y="0"/>
          <wp:positionH relativeFrom="page">
            <wp:align>center</wp:align>
          </wp:positionH>
          <wp:positionV relativeFrom="paragraph">
            <wp:posOffset>34925</wp:posOffset>
          </wp:positionV>
          <wp:extent cx="6898640" cy="695325"/>
          <wp:effectExtent l="0" t="0" r="0" b="0"/>
          <wp:wrapThrough wrapText="bothSides">
            <wp:wrapPolygon edited="0">
              <wp:start x="596" y="4734"/>
              <wp:lineTo x="596" y="8285"/>
              <wp:lineTo x="1014" y="14203"/>
              <wp:lineTo x="1193" y="15386"/>
              <wp:lineTo x="20399" y="15386"/>
              <wp:lineTo x="20578" y="14203"/>
              <wp:lineTo x="20996" y="7693"/>
              <wp:lineTo x="20996" y="4734"/>
              <wp:lineTo x="596" y="4734"/>
            </wp:wrapPolygon>
          </wp:wrapThrough>
          <wp:docPr id="1122362051" name="Picture 16" descr="A green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62051" name="Picture 16" descr="A green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98640" cy="6953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73AE" w14:textId="6490E487" w:rsidR="00FC1E84" w:rsidRDefault="00FC1E84">
    <w:pPr>
      <w:pStyle w:val="Footer"/>
    </w:pPr>
    <w:r>
      <w:rPr>
        <w:noProof/>
      </w:rPr>
      <w:drawing>
        <wp:anchor distT="0" distB="0" distL="114300" distR="114300" simplePos="0" relativeHeight="251662336" behindDoc="0" locked="0" layoutInCell="1" allowOverlap="1" wp14:anchorId="259BF4DF" wp14:editId="5F42688F">
          <wp:simplePos x="0" y="0"/>
          <wp:positionH relativeFrom="page">
            <wp:align>center</wp:align>
          </wp:positionH>
          <wp:positionV relativeFrom="paragraph">
            <wp:posOffset>83185</wp:posOffset>
          </wp:positionV>
          <wp:extent cx="6898640" cy="695325"/>
          <wp:effectExtent l="0" t="0" r="0" b="0"/>
          <wp:wrapThrough wrapText="bothSides">
            <wp:wrapPolygon edited="0">
              <wp:start x="596" y="4734"/>
              <wp:lineTo x="596" y="8285"/>
              <wp:lineTo x="1014" y="14203"/>
              <wp:lineTo x="1193" y="15386"/>
              <wp:lineTo x="20399" y="15386"/>
              <wp:lineTo x="20578" y="14203"/>
              <wp:lineTo x="20996" y="7693"/>
              <wp:lineTo x="20996" y="4734"/>
              <wp:lineTo x="596" y="4734"/>
            </wp:wrapPolygon>
          </wp:wrapThrough>
          <wp:docPr id="4240120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1201"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898640" cy="695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B82C" w14:textId="77777777" w:rsidR="00627B06" w:rsidRDefault="00627B06" w:rsidP="00A121E3">
      <w:pPr>
        <w:spacing w:after="0" w:line="240" w:lineRule="auto"/>
      </w:pPr>
      <w:r>
        <w:separator/>
      </w:r>
    </w:p>
  </w:footnote>
  <w:footnote w:type="continuationSeparator" w:id="0">
    <w:p w14:paraId="448C4E87" w14:textId="77777777" w:rsidR="00627B06" w:rsidRDefault="00627B06" w:rsidP="00A1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FAAA" w14:textId="00E88CC2" w:rsidR="00EC2A7E" w:rsidRDefault="0004391C">
    <w:pPr>
      <w:pStyle w:val="Header"/>
    </w:pPr>
    <w:r>
      <w:rPr>
        <w:noProof/>
      </w:rPr>
      <w:drawing>
        <wp:anchor distT="0" distB="0" distL="114300" distR="114300" simplePos="0" relativeHeight="251663360" behindDoc="0" locked="0" layoutInCell="1" allowOverlap="1" wp14:anchorId="746C9895" wp14:editId="39DCF0AF">
          <wp:simplePos x="0" y="0"/>
          <wp:positionH relativeFrom="page">
            <wp:align>left</wp:align>
          </wp:positionH>
          <wp:positionV relativeFrom="paragraph">
            <wp:posOffset>-430530</wp:posOffset>
          </wp:positionV>
          <wp:extent cx="7537450" cy="909955"/>
          <wp:effectExtent l="0" t="0" r="6350" b="4445"/>
          <wp:wrapThrough wrapText="bothSides">
            <wp:wrapPolygon edited="0">
              <wp:start x="0" y="0"/>
              <wp:lineTo x="0" y="14470"/>
              <wp:lineTo x="17961" y="14470"/>
              <wp:lineTo x="17797" y="19897"/>
              <wp:lineTo x="17906" y="21253"/>
              <wp:lineTo x="19435" y="21253"/>
              <wp:lineTo x="19653" y="21253"/>
              <wp:lineTo x="20090" y="21253"/>
              <wp:lineTo x="20199" y="19445"/>
              <wp:lineTo x="19980" y="14470"/>
              <wp:lineTo x="21564" y="14470"/>
              <wp:lineTo x="21564" y="0"/>
              <wp:lineTo x="0" y="0"/>
            </wp:wrapPolygon>
          </wp:wrapThrough>
          <wp:docPr id="19780412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65149" name="Picture 1397865149"/>
                  <pic:cNvPicPr/>
                </pic:nvPicPr>
                <pic:blipFill>
                  <a:blip r:embed="rId1">
                    <a:extLst>
                      <a:ext uri="{28A0092B-C50C-407E-A947-70E740481C1C}">
                        <a14:useLocalDpi xmlns:a14="http://schemas.microsoft.com/office/drawing/2010/main" val="0"/>
                      </a:ext>
                    </a:extLst>
                  </a:blip>
                  <a:stretch>
                    <a:fillRect/>
                  </a:stretch>
                </pic:blipFill>
                <pic:spPr>
                  <a:xfrm>
                    <a:off x="0" y="0"/>
                    <a:ext cx="7579380" cy="915094"/>
                  </a:xfrm>
                  <a:prstGeom prst="rect">
                    <a:avLst/>
                  </a:prstGeom>
                </pic:spPr>
              </pic:pic>
            </a:graphicData>
          </a:graphic>
          <wp14:sizeRelH relativeFrom="margin">
            <wp14:pctWidth>0</wp14:pctWidth>
          </wp14:sizeRelH>
          <wp14:sizeRelV relativeFrom="margin">
            <wp14:pctHeight>0</wp14:pctHeight>
          </wp14:sizeRelV>
        </wp:anchor>
      </w:drawing>
    </w:r>
  </w:p>
  <w:p w14:paraId="3C1FE505" w14:textId="77777777" w:rsidR="00A121E3" w:rsidRDefault="00A1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45C7" w14:textId="1CE00222" w:rsidR="00F8091E" w:rsidRDefault="0079260D">
    <w:pPr>
      <w:pStyle w:val="Header"/>
    </w:pPr>
    <w:r w:rsidRPr="0079260D">
      <w:rPr>
        <w:rFonts w:ascii="Arial" w:eastAsia="Arial" w:hAnsi="Arial" w:cs="Times New Roman"/>
        <w:noProof/>
        <w:lang w:val="en-NZ"/>
      </w:rPr>
      <w:drawing>
        <wp:anchor distT="0" distB="0" distL="114300" distR="114300" simplePos="0" relativeHeight="251661312" behindDoc="0" locked="0" layoutInCell="1" allowOverlap="1" wp14:anchorId="58BEA200" wp14:editId="2DA5A48B">
          <wp:simplePos x="0" y="0"/>
          <wp:positionH relativeFrom="page">
            <wp:align>right</wp:align>
          </wp:positionH>
          <wp:positionV relativeFrom="paragraph">
            <wp:posOffset>-448310</wp:posOffset>
          </wp:positionV>
          <wp:extent cx="7567175" cy="3314700"/>
          <wp:effectExtent l="0" t="0" r="0" b="0"/>
          <wp:wrapThrough wrapText="bothSides">
            <wp:wrapPolygon edited="0">
              <wp:start x="0" y="0"/>
              <wp:lineTo x="0" y="12290"/>
              <wp:lineTo x="1740" y="13903"/>
              <wp:lineTo x="2175" y="15890"/>
              <wp:lineTo x="1468" y="18124"/>
              <wp:lineTo x="1414" y="20855"/>
              <wp:lineTo x="7831" y="20855"/>
              <wp:lineTo x="7831" y="18248"/>
              <wp:lineTo x="7776" y="17876"/>
              <wp:lineTo x="7124" y="15890"/>
              <wp:lineTo x="7559" y="13903"/>
              <wp:lineTo x="21535" y="12290"/>
              <wp:lineTo x="21535" y="0"/>
              <wp:lineTo x="0" y="0"/>
            </wp:wrapPolygon>
          </wp:wrapThrough>
          <wp:docPr id="1226393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89513" name="Picture 7282895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75" cy="3314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60DA"/>
    <w:multiLevelType w:val="hybridMultilevel"/>
    <w:tmpl w:val="8B2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213AF"/>
    <w:multiLevelType w:val="hybridMultilevel"/>
    <w:tmpl w:val="894CC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3511087"/>
    <w:multiLevelType w:val="hybridMultilevel"/>
    <w:tmpl w:val="874258F8"/>
    <w:lvl w:ilvl="0" w:tplc="0C323B66">
      <w:numFmt w:val="bullet"/>
      <w:lvlText w:val="-"/>
      <w:lvlJc w:val="left"/>
      <w:pPr>
        <w:ind w:left="1530" w:hanging="360"/>
      </w:pPr>
      <w:rPr>
        <w:rFonts w:ascii="Calibri" w:eastAsia="Aptos" w:hAnsi="Calibri" w:cs="Calibri" w:hint="default"/>
      </w:rPr>
    </w:lvl>
    <w:lvl w:ilvl="1" w:tplc="0C090003">
      <w:start w:val="1"/>
      <w:numFmt w:val="bullet"/>
      <w:lvlText w:val="o"/>
      <w:lvlJc w:val="left"/>
      <w:pPr>
        <w:ind w:left="2250" w:hanging="360"/>
      </w:pPr>
      <w:rPr>
        <w:rFonts w:ascii="Courier New" w:hAnsi="Courier New" w:cs="Courier New" w:hint="default"/>
      </w:rPr>
    </w:lvl>
    <w:lvl w:ilvl="2" w:tplc="0C090005">
      <w:start w:val="1"/>
      <w:numFmt w:val="bullet"/>
      <w:lvlText w:val=""/>
      <w:lvlJc w:val="left"/>
      <w:pPr>
        <w:ind w:left="2970" w:hanging="360"/>
      </w:pPr>
      <w:rPr>
        <w:rFonts w:ascii="Wingdings" w:hAnsi="Wingdings" w:hint="default"/>
      </w:rPr>
    </w:lvl>
    <w:lvl w:ilvl="3" w:tplc="0C090001">
      <w:start w:val="1"/>
      <w:numFmt w:val="bullet"/>
      <w:lvlText w:val=""/>
      <w:lvlJc w:val="left"/>
      <w:pPr>
        <w:ind w:left="3690" w:hanging="360"/>
      </w:pPr>
      <w:rPr>
        <w:rFonts w:ascii="Symbol" w:hAnsi="Symbol" w:hint="default"/>
      </w:rPr>
    </w:lvl>
    <w:lvl w:ilvl="4" w:tplc="0C090003">
      <w:start w:val="1"/>
      <w:numFmt w:val="bullet"/>
      <w:lvlText w:val="o"/>
      <w:lvlJc w:val="left"/>
      <w:pPr>
        <w:ind w:left="4410" w:hanging="360"/>
      </w:pPr>
      <w:rPr>
        <w:rFonts w:ascii="Courier New" w:hAnsi="Courier New" w:cs="Courier New" w:hint="default"/>
      </w:rPr>
    </w:lvl>
    <w:lvl w:ilvl="5" w:tplc="0C090005">
      <w:start w:val="1"/>
      <w:numFmt w:val="bullet"/>
      <w:lvlText w:val=""/>
      <w:lvlJc w:val="left"/>
      <w:pPr>
        <w:ind w:left="5130" w:hanging="360"/>
      </w:pPr>
      <w:rPr>
        <w:rFonts w:ascii="Wingdings" w:hAnsi="Wingdings" w:hint="default"/>
      </w:rPr>
    </w:lvl>
    <w:lvl w:ilvl="6" w:tplc="0C090001">
      <w:start w:val="1"/>
      <w:numFmt w:val="bullet"/>
      <w:lvlText w:val=""/>
      <w:lvlJc w:val="left"/>
      <w:pPr>
        <w:ind w:left="5850" w:hanging="360"/>
      </w:pPr>
      <w:rPr>
        <w:rFonts w:ascii="Symbol" w:hAnsi="Symbol" w:hint="default"/>
      </w:rPr>
    </w:lvl>
    <w:lvl w:ilvl="7" w:tplc="0C090003">
      <w:start w:val="1"/>
      <w:numFmt w:val="bullet"/>
      <w:lvlText w:val="o"/>
      <w:lvlJc w:val="left"/>
      <w:pPr>
        <w:ind w:left="6570" w:hanging="360"/>
      </w:pPr>
      <w:rPr>
        <w:rFonts w:ascii="Courier New" w:hAnsi="Courier New" w:cs="Courier New" w:hint="default"/>
      </w:rPr>
    </w:lvl>
    <w:lvl w:ilvl="8" w:tplc="0C090005">
      <w:start w:val="1"/>
      <w:numFmt w:val="bullet"/>
      <w:lvlText w:val=""/>
      <w:lvlJc w:val="left"/>
      <w:pPr>
        <w:ind w:left="7290" w:hanging="360"/>
      </w:pPr>
      <w:rPr>
        <w:rFonts w:ascii="Wingdings" w:hAnsi="Wingdings" w:hint="default"/>
      </w:rPr>
    </w:lvl>
  </w:abstractNum>
  <w:abstractNum w:abstractNumId="3" w15:restartNumberingAfterBreak="0">
    <w:nsid w:val="36D7113E"/>
    <w:multiLevelType w:val="hybridMultilevel"/>
    <w:tmpl w:val="32A09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AD06D01"/>
    <w:multiLevelType w:val="hybridMultilevel"/>
    <w:tmpl w:val="261E9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6F5A89"/>
    <w:multiLevelType w:val="hybridMultilevel"/>
    <w:tmpl w:val="07C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4B2EB4"/>
    <w:multiLevelType w:val="hybridMultilevel"/>
    <w:tmpl w:val="F60A8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39B2BCD"/>
    <w:multiLevelType w:val="hybridMultilevel"/>
    <w:tmpl w:val="12549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64E0A91"/>
    <w:multiLevelType w:val="hybridMultilevel"/>
    <w:tmpl w:val="FF422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FA42CE"/>
    <w:multiLevelType w:val="hybridMultilevel"/>
    <w:tmpl w:val="43FCA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56689200">
    <w:abstractNumId w:val="8"/>
  </w:num>
  <w:num w:numId="2" w16cid:durableId="1306472557">
    <w:abstractNumId w:val="0"/>
  </w:num>
  <w:num w:numId="3" w16cid:durableId="781414866">
    <w:abstractNumId w:val="4"/>
  </w:num>
  <w:num w:numId="4" w16cid:durableId="556085215">
    <w:abstractNumId w:val="1"/>
  </w:num>
  <w:num w:numId="5" w16cid:durableId="175661228">
    <w:abstractNumId w:val="6"/>
  </w:num>
  <w:num w:numId="6" w16cid:durableId="1382896726">
    <w:abstractNumId w:val="5"/>
  </w:num>
  <w:num w:numId="7" w16cid:durableId="892888150">
    <w:abstractNumId w:val="2"/>
  </w:num>
  <w:num w:numId="8" w16cid:durableId="1390810791">
    <w:abstractNumId w:val="7"/>
  </w:num>
  <w:num w:numId="9" w16cid:durableId="1065763757">
    <w:abstractNumId w:val="9"/>
  </w:num>
  <w:num w:numId="10" w16cid:durableId="504058017">
    <w:abstractNumId w:val="3"/>
  </w:num>
  <w:num w:numId="11" w16cid:durableId="1381703947">
    <w:abstractNumId w:val="5"/>
  </w:num>
  <w:num w:numId="12" w16cid:durableId="1104306436">
    <w:abstractNumId w:val="2"/>
  </w:num>
  <w:num w:numId="13" w16cid:durableId="2074811412">
    <w:abstractNumId w:val="7"/>
  </w:num>
  <w:num w:numId="14" w16cid:durableId="869103024">
    <w:abstractNumId w:val="9"/>
  </w:num>
  <w:num w:numId="15" w16cid:durableId="1069376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B"/>
    <w:rsid w:val="00015713"/>
    <w:rsid w:val="0004391C"/>
    <w:rsid w:val="000679D8"/>
    <w:rsid w:val="00090F39"/>
    <w:rsid w:val="000B1D00"/>
    <w:rsid w:val="000D5C3D"/>
    <w:rsid w:val="00103846"/>
    <w:rsid w:val="0019007B"/>
    <w:rsid w:val="001B2329"/>
    <w:rsid w:val="001B63D7"/>
    <w:rsid w:val="00212D1F"/>
    <w:rsid w:val="00247F5E"/>
    <w:rsid w:val="002510D3"/>
    <w:rsid w:val="002C3227"/>
    <w:rsid w:val="00303714"/>
    <w:rsid w:val="00346ABE"/>
    <w:rsid w:val="00364AAF"/>
    <w:rsid w:val="004740FF"/>
    <w:rsid w:val="0053188E"/>
    <w:rsid w:val="0053531D"/>
    <w:rsid w:val="00543720"/>
    <w:rsid w:val="00573E4B"/>
    <w:rsid w:val="00627B06"/>
    <w:rsid w:val="006667B9"/>
    <w:rsid w:val="006920DB"/>
    <w:rsid w:val="006A7A74"/>
    <w:rsid w:val="006C1BD6"/>
    <w:rsid w:val="0074512F"/>
    <w:rsid w:val="007600ED"/>
    <w:rsid w:val="0079260D"/>
    <w:rsid w:val="007B707F"/>
    <w:rsid w:val="00864700"/>
    <w:rsid w:val="008C59C0"/>
    <w:rsid w:val="008E3F95"/>
    <w:rsid w:val="00945C68"/>
    <w:rsid w:val="0097002B"/>
    <w:rsid w:val="009904E9"/>
    <w:rsid w:val="009E591D"/>
    <w:rsid w:val="00A121E3"/>
    <w:rsid w:val="00A72BD7"/>
    <w:rsid w:val="00A8741C"/>
    <w:rsid w:val="00A913A1"/>
    <w:rsid w:val="00AB5F41"/>
    <w:rsid w:val="00AC04E9"/>
    <w:rsid w:val="00AC0CDC"/>
    <w:rsid w:val="00AD14DD"/>
    <w:rsid w:val="00B16E8C"/>
    <w:rsid w:val="00B24787"/>
    <w:rsid w:val="00B26942"/>
    <w:rsid w:val="00B92B0B"/>
    <w:rsid w:val="00C55BCB"/>
    <w:rsid w:val="00CD63ED"/>
    <w:rsid w:val="00CE2519"/>
    <w:rsid w:val="00D143FF"/>
    <w:rsid w:val="00D16850"/>
    <w:rsid w:val="00D44935"/>
    <w:rsid w:val="00DE5DDB"/>
    <w:rsid w:val="00E052B1"/>
    <w:rsid w:val="00E31D23"/>
    <w:rsid w:val="00E64DCC"/>
    <w:rsid w:val="00EA44F1"/>
    <w:rsid w:val="00EC2A7E"/>
    <w:rsid w:val="00F507D5"/>
    <w:rsid w:val="00F53231"/>
    <w:rsid w:val="00F8091E"/>
    <w:rsid w:val="00F81761"/>
    <w:rsid w:val="00FA0655"/>
    <w:rsid w:val="00FC1E84"/>
    <w:rsid w:val="00FF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0D5E"/>
  <w15:chartTrackingRefBased/>
  <w15:docId w15:val="{A6ABDD82-7315-4B8F-A686-0486B5F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1E3"/>
  </w:style>
  <w:style w:type="paragraph" w:styleId="Footer">
    <w:name w:val="footer"/>
    <w:basedOn w:val="Normal"/>
    <w:link w:val="FooterChar"/>
    <w:uiPriority w:val="99"/>
    <w:unhideWhenUsed/>
    <w:rsid w:val="00A1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1E3"/>
  </w:style>
  <w:style w:type="paragraph" w:styleId="ListParagraph">
    <w:name w:val="List Paragraph"/>
    <w:basedOn w:val="Normal"/>
    <w:uiPriority w:val="34"/>
    <w:qFormat/>
    <w:rsid w:val="00303714"/>
    <w:pPr>
      <w:ind w:left="720"/>
      <w:contextualSpacing/>
    </w:pPr>
  </w:style>
  <w:style w:type="character" w:styleId="Hyperlink">
    <w:name w:val="Hyperlink"/>
    <w:basedOn w:val="DefaultParagraphFont"/>
    <w:uiPriority w:val="99"/>
    <w:unhideWhenUsed/>
    <w:rsid w:val="00303714"/>
    <w:rPr>
      <w:color w:val="0563C1" w:themeColor="hyperlink"/>
      <w:u w:val="single"/>
    </w:rPr>
  </w:style>
  <w:style w:type="character" w:styleId="UnresolvedMention">
    <w:name w:val="Unresolved Mention"/>
    <w:basedOn w:val="DefaultParagraphFont"/>
    <w:uiPriority w:val="99"/>
    <w:semiHidden/>
    <w:unhideWhenUsed/>
    <w:rsid w:val="0030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4540">
      <w:bodyDiv w:val="1"/>
      <w:marLeft w:val="0"/>
      <w:marRight w:val="0"/>
      <w:marTop w:val="0"/>
      <w:marBottom w:val="0"/>
      <w:divBdr>
        <w:top w:val="none" w:sz="0" w:space="0" w:color="auto"/>
        <w:left w:val="none" w:sz="0" w:space="0" w:color="auto"/>
        <w:bottom w:val="none" w:sz="0" w:space="0" w:color="auto"/>
        <w:right w:val="none" w:sz="0" w:space="0" w:color="auto"/>
      </w:divBdr>
    </w:div>
    <w:div w:id="606736170">
      <w:bodyDiv w:val="1"/>
      <w:marLeft w:val="0"/>
      <w:marRight w:val="0"/>
      <w:marTop w:val="0"/>
      <w:marBottom w:val="0"/>
      <w:divBdr>
        <w:top w:val="none" w:sz="0" w:space="0" w:color="auto"/>
        <w:left w:val="none" w:sz="0" w:space="0" w:color="auto"/>
        <w:bottom w:val="none" w:sz="0" w:space="0" w:color="auto"/>
        <w:right w:val="none" w:sz="0" w:space="0" w:color="auto"/>
      </w:divBdr>
    </w:div>
    <w:div w:id="984822898">
      <w:bodyDiv w:val="1"/>
      <w:marLeft w:val="0"/>
      <w:marRight w:val="0"/>
      <w:marTop w:val="0"/>
      <w:marBottom w:val="0"/>
      <w:divBdr>
        <w:top w:val="none" w:sz="0" w:space="0" w:color="auto"/>
        <w:left w:val="none" w:sz="0" w:space="0" w:color="auto"/>
        <w:bottom w:val="none" w:sz="0" w:space="0" w:color="auto"/>
        <w:right w:val="none" w:sz="0" w:space="0" w:color="auto"/>
      </w:divBdr>
    </w:div>
    <w:div w:id="1011300774">
      <w:bodyDiv w:val="1"/>
      <w:marLeft w:val="0"/>
      <w:marRight w:val="0"/>
      <w:marTop w:val="0"/>
      <w:marBottom w:val="0"/>
      <w:divBdr>
        <w:top w:val="none" w:sz="0" w:space="0" w:color="auto"/>
        <w:left w:val="none" w:sz="0" w:space="0" w:color="auto"/>
        <w:bottom w:val="none" w:sz="0" w:space="0" w:color="auto"/>
        <w:right w:val="none" w:sz="0" w:space="0" w:color="auto"/>
      </w:divBdr>
    </w:div>
    <w:div w:id="20756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ndall@silicaresources.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traton@silicaresources.com.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Tindall</dc:creator>
  <cp:keywords/>
  <dc:description/>
  <cp:lastModifiedBy>Louise Potter</cp:lastModifiedBy>
  <cp:revision>2</cp:revision>
  <dcterms:created xsi:type="dcterms:W3CDTF">2024-09-17T08:46:00Z</dcterms:created>
  <dcterms:modified xsi:type="dcterms:W3CDTF">2024-09-17T08:46:00Z</dcterms:modified>
</cp:coreProperties>
</file>