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AE99" w14:textId="77777777" w:rsidR="0079260D" w:rsidRDefault="0079260D">
      <w:pPr>
        <w:rPr>
          <w:b/>
          <w:bCs/>
          <w:sz w:val="40"/>
          <w:szCs w:val="40"/>
        </w:rPr>
      </w:pPr>
    </w:p>
    <w:p w14:paraId="150DC7B6" w14:textId="77777777" w:rsidR="0079260D" w:rsidRDefault="0079260D">
      <w:pPr>
        <w:rPr>
          <w:b/>
          <w:bCs/>
          <w:sz w:val="40"/>
          <w:szCs w:val="40"/>
        </w:rPr>
      </w:pPr>
    </w:p>
    <w:p w14:paraId="21DD37D2" w14:textId="77777777" w:rsidR="003416C7" w:rsidRDefault="003416C7" w:rsidP="00780FBF">
      <w:pPr>
        <w:rPr>
          <w:b/>
          <w:bCs/>
          <w:sz w:val="40"/>
          <w:szCs w:val="40"/>
        </w:rPr>
      </w:pPr>
    </w:p>
    <w:p w14:paraId="28C2BB35" w14:textId="77777777" w:rsidR="00780FBF" w:rsidRDefault="00780FBF" w:rsidP="00780FBF">
      <w:pPr>
        <w:rPr>
          <w:b/>
          <w:bCs/>
          <w:color w:val="487D37"/>
          <w:sz w:val="36"/>
          <w:szCs w:val="36"/>
        </w:rPr>
      </w:pPr>
    </w:p>
    <w:p w14:paraId="7C5B994C" w14:textId="2CF64597" w:rsidR="00B15DED" w:rsidRPr="00A72BD7" w:rsidRDefault="000B75F0" w:rsidP="000B75F0">
      <w:pPr>
        <w:rPr>
          <w:b/>
          <w:bCs/>
          <w:color w:val="487D37"/>
          <w:sz w:val="36"/>
          <w:szCs w:val="36"/>
        </w:rPr>
      </w:pPr>
      <w:r>
        <w:rPr>
          <w:b/>
          <w:bCs/>
          <w:color w:val="487D37"/>
          <w:sz w:val="36"/>
          <w:szCs w:val="36"/>
        </w:rPr>
        <w:t xml:space="preserve">       </w:t>
      </w:r>
      <w:r w:rsidR="00775C5D">
        <w:rPr>
          <w:b/>
          <w:bCs/>
          <w:color w:val="487D37"/>
          <w:sz w:val="36"/>
          <w:szCs w:val="36"/>
        </w:rPr>
        <w:t>DIVERSITY AND INCLUSION POLICY STATEMENT</w:t>
      </w:r>
    </w:p>
    <w:p w14:paraId="36771B9A" w14:textId="5B6C4273" w:rsidR="00775C5D" w:rsidRPr="00775C5D" w:rsidRDefault="00775C5D" w:rsidP="00780FBF">
      <w:pPr>
        <w:spacing w:after="0"/>
        <w:ind w:right="686"/>
        <w:rPr>
          <w:rFonts w:ascii="Arial" w:hAnsi="Arial" w:cs="Arial"/>
        </w:rPr>
      </w:pPr>
      <w:bookmarkStart w:id="0" w:name="_Hlk167294469"/>
      <w:r w:rsidRPr="00775C5D">
        <w:rPr>
          <w:rFonts w:ascii="Arial" w:hAnsi="Arial" w:cs="Arial"/>
        </w:rPr>
        <w:t>At SRA we commit to building and valuing a diverse, professional and empowered workforce that authentically represents the community we serve – a workforce that fosters a culture of inclusiveness and embraces the diversity of its people, such as differences in cultural backgrounds, race, ethnicity, disability, age, gender identity or sexual orientation.</w:t>
      </w:r>
    </w:p>
    <w:p w14:paraId="126ABC30"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23C23DBA" w14:textId="77777777" w:rsidR="00775C5D" w:rsidRPr="00775C5D" w:rsidRDefault="00775C5D" w:rsidP="00780FBF">
      <w:pPr>
        <w:spacing w:after="0"/>
        <w:ind w:right="686"/>
        <w:jc w:val="both"/>
        <w:rPr>
          <w:rFonts w:ascii="Arial" w:hAnsi="Arial" w:cs="Arial"/>
        </w:rPr>
      </w:pPr>
      <w:r w:rsidRPr="00775C5D">
        <w:rPr>
          <w:rFonts w:ascii="Arial" w:hAnsi="Arial" w:cs="Arial"/>
        </w:rPr>
        <w:t>We will drive innovation, performance and productivity by empowering our diverse workforce to utilise the unique skills, ideas, perspectives and qualities that they contribute every day by creating an environment where team members feel valued and safe.</w:t>
      </w:r>
    </w:p>
    <w:p w14:paraId="6DC6DC90"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010871E8" w14:textId="77777777" w:rsidR="00775C5D" w:rsidRPr="00775C5D" w:rsidRDefault="00775C5D" w:rsidP="00780FBF">
      <w:pPr>
        <w:spacing w:after="0"/>
        <w:ind w:right="686"/>
        <w:jc w:val="both"/>
        <w:rPr>
          <w:rFonts w:ascii="Arial" w:hAnsi="Arial" w:cs="Arial"/>
        </w:rPr>
      </w:pPr>
      <w:r w:rsidRPr="00775C5D">
        <w:rPr>
          <w:rFonts w:ascii="Arial" w:hAnsi="Arial" w:cs="Arial"/>
        </w:rPr>
        <w:t>We will encourage applications from a broad range of suitably skilled people to deliver our diverse responsibilities and to perform our many complex roles by offering flexible work arrangements, through diversity networks, and by implementing relevant diversity action plans.</w:t>
      </w:r>
    </w:p>
    <w:p w14:paraId="3C0692D8" w14:textId="77777777" w:rsidR="00775C5D" w:rsidRPr="00775C5D" w:rsidRDefault="00775C5D" w:rsidP="00775C5D">
      <w:pPr>
        <w:ind w:right="686"/>
        <w:jc w:val="both"/>
        <w:rPr>
          <w:rFonts w:ascii="Arial" w:hAnsi="Arial" w:cs="Arial"/>
        </w:rPr>
      </w:pPr>
      <w:r w:rsidRPr="00775C5D">
        <w:rPr>
          <w:rFonts w:ascii="Arial" w:hAnsi="Arial" w:cs="Arial"/>
        </w:rPr>
        <w:t> </w:t>
      </w:r>
    </w:p>
    <w:p w14:paraId="633C3FD6" w14:textId="32387A37" w:rsidR="00775C5D" w:rsidRPr="00A22D2A" w:rsidRDefault="00775C5D" w:rsidP="00780FBF">
      <w:pPr>
        <w:spacing w:after="0"/>
        <w:ind w:right="686"/>
        <w:jc w:val="both"/>
        <w:rPr>
          <w:rFonts w:ascii="Arial" w:hAnsi="Arial" w:cs="Arial"/>
          <w:sz w:val="28"/>
          <w:szCs w:val="28"/>
        </w:rPr>
      </w:pPr>
      <w:r w:rsidRPr="00A22D2A">
        <w:rPr>
          <w:b/>
          <w:bCs/>
          <w:color w:val="487D37"/>
          <w:sz w:val="28"/>
          <w:szCs w:val="28"/>
        </w:rPr>
        <w:t xml:space="preserve">SRA </w:t>
      </w:r>
      <w:r w:rsidR="00B92F43">
        <w:rPr>
          <w:b/>
          <w:bCs/>
          <w:color w:val="487D37"/>
          <w:sz w:val="28"/>
          <w:szCs w:val="28"/>
        </w:rPr>
        <w:t>COMMITS TO</w:t>
      </w:r>
      <w:r w:rsidRPr="00A22D2A">
        <w:rPr>
          <w:b/>
          <w:bCs/>
          <w:color w:val="487D37"/>
          <w:sz w:val="28"/>
          <w:szCs w:val="28"/>
        </w:rPr>
        <w:t>:</w:t>
      </w:r>
    </w:p>
    <w:p w14:paraId="1969D21B"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0BAE15BA" w14:textId="77777777" w:rsidR="00775C5D" w:rsidRPr="00775C5D" w:rsidRDefault="00775C5D" w:rsidP="00780FBF">
      <w:pPr>
        <w:numPr>
          <w:ilvl w:val="0"/>
          <w:numId w:val="3"/>
        </w:numPr>
        <w:spacing w:after="0"/>
        <w:ind w:right="686"/>
        <w:jc w:val="both"/>
        <w:rPr>
          <w:rFonts w:ascii="Arial" w:hAnsi="Arial" w:cs="Arial"/>
        </w:rPr>
      </w:pPr>
      <w:r w:rsidRPr="00775C5D">
        <w:rPr>
          <w:rFonts w:ascii="Arial" w:hAnsi="Arial" w:cs="Arial"/>
        </w:rPr>
        <w:t>Creating an environment in which Aboriginal and Torres Strait Islander people can find success.</w:t>
      </w:r>
    </w:p>
    <w:p w14:paraId="308431B9"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5A74660A" w14:textId="77777777" w:rsidR="00775C5D" w:rsidRPr="00775C5D" w:rsidRDefault="00775C5D" w:rsidP="00780FBF">
      <w:pPr>
        <w:numPr>
          <w:ilvl w:val="0"/>
          <w:numId w:val="4"/>
        </w:numPr>
        <w:spacing w:after="0"/>
        <w:ind w:right="686"/>
        <w:jc w:val="both"/>
        <w:rPr>
          <w:rFonts w:ascii="Arial" w:hAnsi="Arial" w:cs="Arial"/>
        </w:rPr>
      </w:pPr>
      <w:r w:rsidRPr="00775C5D">
        <w:rPr>
          <w:rFonts w:ascii="Arial" w:hAnsi="Arial" w:cs="Arial"/>
        </w:rPr>
        <w:t>Creating a supportive and enabling culture that recognises the contribution of all genders, and provides opportunities for leadership, career development, flexible work and equal participation.</w:t>
      </w:r>
    </w:p>
    <w:p w14:paraId="3E7B73B0"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2111E98D" w14:textId="77777777" w:rsidR="00775C5D" w:rsidRPr="00775C5D" w:rsidRDefault="00775C5D" w:rsidP="00780FBF">
      <w:pPr>
        <w:numPr>
          <w:ilvl w:val="0"/>
          <w:numId w:val="5"/>
        </w:numPr>
        <w:spacing w:after="0"/>
        <w:ind w:right="686"/>
        <w:jc w:val="both"/>
        <w:rPr>
          <w:rFonts w:ascii="Arial" w:hAnsi="Arial" w:cs="Arial"/>
        </w:rPr>
      </w:pPr>
      <w:r w:rsidRPr="00775C5D">
        <w:rPr>
          <w:rFonts w:ascii="Arial" w:hAnsi="Arial" w:cs="Arial"/>
        </w:rPr>
        <w:t>Promoting an environment that welcomes, supports, and encourages an inclusive workplace for people with disability or those who are neurodivergent.</w:t>
      </w:r>
    </w:p>
    <w:p w14:paraId="47398C0E" w14:textId="77777777" w:rsidR="00775C5D" w:rsidRPr="00775C5D" w:rsidRDefault="00775C5D" w:rsidP="00775C5D">
      <w:pPr>
        <w:ind w:right="686"/>
        <w:jc w:val="both"/>
        <w:rPr>
          <w:rFonts w:ascii="Arial" w:hAnsi="Arial" w:cs="Arial"/>
        </w:rPr>
      </w:pPr>
      <w:r w:rsidRPr="00775C5D">
        <w:rPr>
          <w:rFonts w:ascii="Arial" w:hAnsi="Arial" w:cs="Arial"/>
        </w:rPr>
        <w:t> </w:t>
      </w:r>
    </w:p>
    <w:p w14:paraId="05BEDA05" w14:textId="77777777" w:rsidR="00775C5D" w:rsidRPr="00775C5D" w:rsidRDefault="00775C5D" w:rsidP="00775C5D">
      <w:pPr>
        <w:numPr>
          <w:ilvl w:val="0"/>
          <w:numId w:val="6"/>
        </w:numPr>
        <w:ind w:right="686"/>
        <w:jc w:val="both"/>
        <w:rPr>
          <w:rFonts w:ascii="Arial" w:hAnsi="Arial" w:cs="Arial"/>
        </w:rPr>
      </w:pPr>
      <w:r w:rsidRPr="00775C5D">
        <w:rPr>
          <w:rFonts w:ascii="Arial" w:hAnsi="Arial" w:cs="Arial"/>
        </w:rPr>
        <w:t>Continuing to build a workforce that respects and values the contributions of our culturally and linguistically diverse staff, who bring a vast range of individual experiences and capabilities valuable to the work we do.</w:t>
      </w:r>
    </w:p>
    <w:p w14:paraId="05BE98A2" w14:textId="77777777" w:rsidR="00775C5D" w:rsidRPr="00775C5D" w:rsidRDefault="00775C5D" w:rsidP="00775C5D">
      <w:pPr>
        <w:ind w:right="686"/>
        <w:jc w:val="both"/>
        <w:rPr>
          <w:rFonts w:ascii="Arial" w:hAnsi="Arial" w:cs="Arial"/>
        </w:rPr>
      </w:pPr>
      <w:r w:rsidRPr="00775C5D">
        <w:rPr>
          <w:rFonts w:ascii="Arial" w:hAnsi="Arial" w:cs="Arial"/>
        </w:rPr>
        <w:lastRenderedPageBreak/>
        <w:t> </w:t>
      </w:r>
    </w:p>
    <w:p w14:paraId="7BF235C5" w14:textId="77777777" w:rsidR="00775C5D" w:rsidRPr="00775C5D" w:rsidRDefault="00775C5D" w:rsidP="00780FBF">
      <w:pPr>
        <w:numPr>
          <w:ilvl w:val="0"/>
          <w:numId w:val="7"/>
        </w:numPr>
        <w:spacing w:after="0"/>
        <w:ind w:right="686"/>
        <w:jc w:val="both"/>
        <w:rPr>
          <w:rFonts w:ascii="Arial" w:hAnsi="Arial" w:cs="Arial"/>
        </w:rPr>
      </w:pPr>
      <w:r w:rsidRPr="00775C5D">
        <w:rPr>
          <w:rFonts w:ascii="Arial" w:hAnsi="Arial" w:cs="Arial"/>
        </w:rPr>
        <w:t>Promoting value-based behaviours by acting with integrity, respecting each other and appreciating the contribution each person makes to our organisation.</w:t>
      </w:r>
    </w:p>
    <w:p w14:paraId="1605CC3E"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77791BCB" w14:textId="77777777" w:rsidR="00775C5D" w:rsidRPr="00775C5D" w:rsidRDefault="00775C5D" w:rsidP="00780FBF">
      <w:pPr>
        <w:numPr>
          <w:ilvl w:val="0"/>
          <w:numId w:val="8"/>
        </w:numPr>
        <w:spacing w:after="0"/>
        <w:ind w:right="686"/>
        <w:jc w:val="both"/>
        <w:rPr>
          <w:rFonts w:ascii="Arial" w:hAnsi="Arial" w:cs="Arial"/>
        </w:rPr>
      </w:pPr>
      <w:r w:rsidRPr="00775C5D">
        <w:rPr>
          <w:rFonts w:ascii="Arial" w:hAnsi="Arial" w:cs="Arial"/>
        </w:rPr>
        <w:t>Providing a safe, open and accepting environment that supports people of all sexualities and gender identities, where staff can bring their authentic selves to work.</w:t>
      </w:r>
    </w:p>
    <w:p w14:paraId="7C2C4091" w14:textId="77777777" w:rsidR="00775C5D" w:rsidRPr="00775C5D" w:rsidRDefault="00775C5D" w:rsidP="00780FBF">
      <w:pPr>
        <w:spacing w:after="0"/>
        <w:ind w:right="686"/>
        <w:jc w:val="both"/>
        <w:rPr>
          <w:rFonts w:ascii="Arial" w:hAnsi="Arial" w:cs="Arial"/>
        </w:rPr>
      </w:pPr>
      <w:r w:rsidRPr="00775C5D">
        <w:rPr>
          <w:rFonts w:ascii="Arial" w:hAnsi="Arial" w:cs="Arial"/>
        </w:rPr>
        <w:t> </w:t>
      </w:r>
    </w:p>
    <w:p w14:paraId="48B5E466" w14:textId="77777777" w:rsidR="00775C5D" w:rsidRPr="00775C5D" w:rsidRDefault="00775C5D" w:rsidP="00780FBF">
      <w:pPr>
        <w:numPr>
          <w:ilvl w:val="0"/>
          <w:numId w:val="9"/>
        </w:numPr>
        <w:spacing w:after="0"/>
        <w:ind w:right="686"/>
        <w:jc w:val="both"/>
        <w:rPr>
          <w:rFonts w:ascii="Arial" w:hAnsi="Arial" w:cs="Arial"/>
        </w:rPr>
      </w:pPr>
      <w:r w:rsidRPr="00775C5D">
        <w:rPr>
          <w:rFonts w:ascii="Arial" w:hAnsi="Arial" w:cs="Arial"/>
        </w:rPr>
        <w:t>Engaging in ways to retain the corporate knowledge and career experience of our mature workforce, while increasing representation and developing the skills of our younger workforce.</w:t>
      </w:r>
    </w:p>
    <w:p w14:paraId="434E75F1" w14:textId="7062D850" w:rsidR="00F507D5" w:rsidRPr="00742D88" w:rsidRDefault="00F507D5" w:rsidP="00A72BD7">
      <w:pPr>
        <w:ind w:right="686"/>
        <w:jc w:val="both"/>
        <w:rPr>
          <w:rFonts w:ascii="Arial" w:hAnsi="Arial" w:cs="Arial"/>
        </w:rPr>
      </w:pPr>
    </w:p>
    <w:bookmarkEnd w:id="0"/>
    <w:p w14:paraId="1FE3E0AF" w14:textId="60066523" w:rsidR="000679D8" w:rsidRDefault="00FC1E84" w:rsidP="00FC1E84">
      <w:pPr>
        <w:tabs>
          <w:tab w:val="center" w:pos="4808"/>
        </w:tabs>
      </w:pPr>
      <w:r>
        <w:tab/>
      </w:r>
    </w:p>
    <w:sectPr w:rsidR="000679D8" w:rsidSect="0079260D">
      <w:headerReference w:type="default" r:id="rId7"/>
      <w:footerReference w:type="default" r:id="rId8"/>
      <w:headerReference w:type="first" r:id="rId9"/>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5CA35" w14:textId="77777777" w:rsidR="00122C09" w:rsidRDefault="00122C09" w:rsidP="00A121E3">
      <w:pPr>
        <w:spacing w:after="0" w:line="240" w:lineRule="auto"/>
      </w:pPr>
      <w:r>
        <w:separator/>
      </w:r>
    </w:p>
  </w:endnote>
  <w:endnote w:type="continuationSeparator" w:id="0">
    <w:p w14:paraId="1E71CBC8" w14:textId="77777777" w:rsidR="00122C09" w:rsidRDefault="00122C09" w:rsidP="00A1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34E6" w14:textId="6EC04A45" w:rsidR="00B15DED" w:rsidRDefault="00B15DED">
    <w:pPr>
      <w:pStyle w:val="Footer"/>
    </w:pPr>
    <w:r>
      <w:rPr>
        <w:noProof/>
      </w:rPr>
      <w:drawing>
        <wp:anchor distT="0" distB="0" distL="114300" distR="114300" simplePos="0" relativeHeight="251662336" behindDoc="0" locked="0" layoutInCell="1" allowOverlap="1" wp14:anchorId="259BF4DF" wp14:editId="2C03F675">
          <wp:simplePos x="0" y="0"/>
          <wp:positionH relativeFrom="page">
            <wp:posOffset>302260</wp:posOffset>
          </wp:positionH>
          <wp:positionV relativeFrom="paragraph">
            <wp:posOffset>95885</wp:posOffset>
          </wp:positionV>
          <wp:extent cx="6898640" cy="695325"/>
          <wp:effectExtent l="0" t="0" r="0" b="0"/>
          <wp:wrapThrough wrapText="bothSides">
            <wp:wrapPolygon edited="0">
              <wp:start x="596" y="4734"/>
              <wp:lineTo x="596" y="8285"/>
              <wp:lineTo x="1014" y="14203"/>
              <wp:lineTo x="1193" y="15386"/>
              <wp:lineTo x="20399" y="15386"/>
              <wp:lineTo x="20578" y="14203"/>
              <wp:lineTo x="20996" y="7693"/>
              <wp:lineTo x="20996" y="4734"/>
              <wp:lineTo x="596" y="4734"/>
            </wp:wrapPolygon>
          </wp:wrapThrough>
          <wp:docPr id="4240120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1201"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898640" cy="695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B471" w14:textId="77777777" w:rsidR="00122C09" w:rsidRDefault="00122C09" w:rsidP="00A121E3">
      <w:pPr>
        <w:spacing w:after="0" w:line="240" w:lineRule="auto"/>
      </w:pPr>
      <w:r>
        <w:separator/>
      </w:r>
    </w:p>
  </w:footnote>
  <w:footnote w:type="continuationSeparator" w:id="0">
    <w:p w14:paraId="59209C5D" w14:textId="77777777" w:rsidR="00122C09" w:rsidRDefault="00122C09" w:rsidP="00A1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FAAA" w14:textId="314123AE" w:rsidR="00EC2A7E" w:rsidRDefault="00B15DED">
    <w:pPr>
      <w:pStyle w:val="Header"/>
    </w:pPr>
    <w:r>
      <w:rPr>
        <w:noProof/>
      </w:rPr>
      <w:drawing>
        <wp:anchor distT="0" distB="0" distL="114300" distR="114300" simplePos="0" relativeHeight="251664384" behindDoc="0" locked="0" layoutInCell="1" allowOverlap="1" wp14:anchorId="2B028854" wp14:editId="545B8AFC">
          <wp:simplePos x="0" y="0"/>
          <wp:positionH relativeFrom="page">
            <wp:align>left</wp:align>
          </wp:positionH>
          <wp:positionV relativeFrom="paragraph">
            <wp:posOffset>-429260</wp:posOffset>
          </wp:positionV>
          <wp:extent cx="7534275" cy="908685"/>
          <wp:effectExtent l="0" t="0" r="9525" b="5715"/>
          <wp:wrapThrough wrapText="bothSides">
            <wp:wrapPolygon edited="0">
              <wp:start x="0" y="0"/>
              <wp:lineTo x="0" y="14491"/>
              <wp:lineTo x="17968" y="14491"/>
              <wp:lineTo x="17804" y="20377"/>
              <wp:lineTo x="17804" y="21283"/>
              <wp:lineTo x="20153" y="21283"/>
              <wp:lineTo x="20043" y="15396"/>
              <wp:lineTo x="21573" y="14491"/>
              <wp:lineTo x="21573" y="0"/>
              <wp:lineTo x="0" y="0"/>
            </wp:wrapPolygon>
          </wp:wrapThrough>
          <wp:docPr id="19780412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65149" name="Picture 1397865149"/>
                  <pic:cNvPicPr/>
                </pic:nvPicPr>
                <pic:blipFill>
                  <a:blip r:embed="rId1">
                    <a:extLst>
                      <a:ext uri="{28A0092B-C50C-407E-A947-70E740481C1C}">
                        <a14:useLocalDpi xmlns:a14="http://schemas.microsoft.com/office/drawing/2010/main" val="0"/>
                      </a:ext>
                    </a:extLst>
                  </a:blip>
                  <a:stretch>
                    <a:fillRect/>
                  </a:stretch>
                </pic:blipFill>
                <pic:spPr>
                  <a:xfrm>
                    <a:off x="0" y="0"/>
                    <a:ext cx="7534275" cy="908685"/>
                  </a:xfrm>
                  <a:prstGeom prst="rect">
                    <a:avLst/>
                  </a:prstGeom>
                </pic:spPr>
              </pic:pic>
            </a:graphicData>
          </a:graphic>
          <wp14:sizeRelH relativeFrom="margin">
            <wp14:pctWidth>0</wp14:pctWidth>
          </wp14:sizeRelH>
          <wp14:sizeRelV relativeFrom="margin">
            <wp14:pctHeight>0</wp14:pctHeight>
          </wp14:sizeRelV>
        </wp:anchor>
      </w:drawing>
    </w:r>
  </w:p>
  <w:p w14:paraId="3C1FE505" w14:textId="77777777" w:rsidR="00A121E3" w:rsidRDefault="00A12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45C7" w14:textId="1CE00222" w:rsidR="00F8091E" w:rsidRDefault="0079260D">
    <w:pPr>
      <w:pStyle w:val="Header"/>
    </w:pPr>
    <w:r w:rsidRPr="0079260D">
      <w:rPr>
        <w:rFonts w:ascii="Arial" w:eastAsia="Arial" w:hAnsi="Arial" w:cs="Times New Roman"/>
        <w:noProof/>
        <w:lang w:val="en-NZ"/>
      </w:rPr>
      <w:drawing>
        <wp:anchor distT="0" distB="0" distL="114300" distR="114300" simplePos="0" relativeHeight="251659264" behindDoc="0" locked="0" layoutInCell="1" allowOverlap="1" wp14:anchorId="58BEA200" wp14:editId="2DA5A48B">
          <wp:simplePos x="0" y="0"/>
          <wp:positionH relativeFrom="page">
            <wp:align>right</wp:align>
          </wp:positionH>
          <wp:positionV relativeFrom="paragraph">
            <wp:posOffset>-448310</wp:posOffset>
          </wp:positionV>
          <wp:extent cx="7567175" cy="3314700"/>
          <wp:effectExtent l="0" t="0" r="0" b="0"/>
          <wp:wrapThrough wrapText="bothSides">
            <wp:wrapPolygon edited="0">
              <wp:start x="0" y="0"/>
              <wp:lineTo x="0" y="12290"/>
              <wp:lineTo x="1740" y="13903"/>
              <wp:lineTo x="2175" y="15890"/>
              <wp:lineTo x="1468" y="18124"/>
              <wp:lineTo x="1414" y="20855"/>
              <wp:lineTo x="7831" y="20855"/>
              <wp:lineTo x="7831" y="18248"/>
              <wp:lineTo x="7776" y="17876"/>
              <wp:lineTo x="7124" y="15890"/>
              <wp:lineTo x="7559" y="13903"/>
              <wp:lineTo x="21535" y="12290"/>
              <wp:lineTo x="21535" y="0"/>
              <wp:lineTo x="0" y="0"/>
            </wp:wrapPolygon>
          </wp:wrapThrough>
          <wp:docPr id="1226393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89513" name="Picture 7282895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75" cy="3314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7110"/>
    <w:multiLevelType w:val="multilevel"/>
    <w:tmpl w:val="76808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D60DA"/>
    <w:multiLevelType w:val="hybridMultilevel"/>
    <w:tmpl w:val="8B20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A79"/>
    <w:multiLevelType w:val="multilevel"/>
    <w:tmpl w:val="04C8C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97F69"/>
    <w:multiLevelType w:val="multilevel"/>
    <w:tmpl w:val="81B6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23BC7"/>
    <w:multiLevelType w:val="multilevel"/>
    <w:tmpl w:val="15F4A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C339A"/>
    <w:multiLevelType w:val="multilevel"/>
    <w:tmpl w:val="93DE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40489"/>
    <w:multiLevelType w:val="multilevel"/>
    <w:tmpl w:val="524A3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0A91"/>
    <w:multiLevelType w:val="hybridMultilevel"/>
    <w:tmpl w:val="FF422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667C67"/>
    <w:multiLevelType w:val="multilevel"/>
    <w:tmpl w:val="80167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56689200">
    <w:abstractNumId w:val="7"/>
  </w:num>
  <w:num w:numId="2" w16cid:durableId="1306472557">
    <w:abstractNumId w:val="1"/>
  </w:num>
  <w:num w:numId="3" w16cid:durableId="2023821609">
    <w:abstractNumId w:val="4"/>
  </w:num>
  <w:num w:numId="4" w16cid:durableId="1611202664">
    <w:abstractNumId w:val="6"/>
  </w:num>
  <w:num w:numId="5" w16cid:durableId="1553345479">
    <w:abstractNumId w:val="3"/>
  </w:num>
  <w:num w:numId="6" w16cid:durableId="136650634">
    <w:abstractNumId w:val="8"/>
  </w:num>
  <w:num w:numId="7" w16cid:durableId="784693209">
    <w:abstractNumId w:val="2"/>
  </w:num>
  <w:num w:numId="8" w16cid:durableId="641346880">
    <w:abstractNumId w:val="0"/>
  </w:num>
  <w:num w:numId="9" w16cid:durableId="21133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B"/>
    <w:rsid w:val="000423EB"/>
    <w:rsid w:val="000679D8"/>
    <w:rsid w:val="00090F39"/>
    <w:rsid w:val="000B1D00"/>
    <w:rsid w:val="000B75F0"/>
    <w:rsid w:val="000D5C3D"/>
    <w:rsid w:val="00103846"/>
    <w:rsid w:val="00122C09"/>
    <w:rsid w:val="00165BAF"/>
    <w:rsid w:val="001B2329"/>
    <w:rsid w:val="001B63D7"/>
    <w:rsid w:val="002312B0"/>
    <w:rsid w:val="00247F5E"/>
    <w:rsid w:val="0026494A"/>
    <w:rsid w:val="00303714"/>
    <w:rsid w:val="00321025"/>
    <w:rsid w:val="003416C7"/>
    <w:rsid w:val="004740FF"/>
    <w:rsid w:val="0053188E"/>
    <w:rsid w:val="0053531D"/>
    <w:rsid w:val="00543720"/>
    <w:rsid w:val="00573E4B"/>
    <w:rsid w:val="0069428A"/>
    <w:rsid w:val="00742D88"/>
    <w:rsid w:val="0074512F"/>
    <w:rsid w:val="007600ED"/>
    <w:rsid w:val="00775C5D"/>
    <w:rsid w:val="00780FBF"/>
    <w:rsid w:val="0079260D"/>
    <w:rsid w:val="007C5CB0"/>
    <w:rsid w:val="00864700"/>
    <w:rsid w:val="008E3F95"/>
    <w:rsid w:val="0090360D"/>
    <w:rsid w:val="00933B9F"/>
    <w:rsid w:val="0097002B"/>
    <w:rsid w:val="00A121E3"/>
    <w:rsid w:val="00A22D2A"/>
    <w:rsid w:val="00A34F15"/>
    <w:rsid w:val="00A72BD7"/>
    <w:rsid w:val="00AB4D75"/>
    <w:rsid w:val="00AB5F41"/>
    <w:rsid w:val="00AC04E9"/>
    <w:rsid w:val="00AC0CDC"/>
    <w:rsid w:val="00B15DED"/>
    <w:rsid w:val="00B16E8C"/>
    <w:rsid w:val="00B26942"/>
    <w:rsid w:val="00B806E6"/>
    <w:rsid w:val="00B92B0B"/>
    <w:rsid w:val="00B92F43"/>
    <w:rsid w:val="00C10CD5"/>
    <w:rsid w:val="00C55BCB"/>
    <w:rsid w:val="00CE2519"/>
    <w:rsid w:val="00D11A17"/>
    <w:rsid w:val="00D16850"/>
    <w:rsid w:val="00DE5DDB"/>
    <w:rsid w:val="00EA44F1"/>
    <w:rsid w:val="00EC2A7E"/>
    <w:rsid w:val="00F003CF"/>
    <w:rsid w:val="00F507D5"/>
    <w:rsid w:val="00F53231"/>
    <w:rsid w:val="00F8091E"/>
    <w:rsid w:val="00F81761"/>
    <w:rsid w:val="00FA0655"/>
    <w:rsid w:val="00FC1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0D5E"/>
  <w15:chartTrackingRefBased/>
  <w15:docId w15:val="{A6ABDD82-7315-4B8F-A686-0486B5F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1E3"/>
  </w:style>
  <w:style w:type="paragraph" w:styleId="Footer">
    <w:name w:val="footer"/>
    <w:basedOn w:val="Normal"/>
    <w:link w:val="FooterChar"/>
    <w:uiPriority w:val="99"/>
    <w:unhideWhenUsed/>
    <w:rsid w:val="00A12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1E3"/>
  </w:style>
  <w:style w:type="paragraph" w:styleId="ListParagraph">
    <w:name w:val="List Paragraph"/>
    <w:basedOn w:val="Normal"/>
    <w:uiPriority w:val="34"/>
    <w:qFormat/>
    <w:rsid w:val="00303714"/>
    <w:pPr>
      <w:ind w:left="720"/>
      <w:contextualSpacing/>
    </w:pPr>
  </w:style>
  <w:style w:type="character" w:styleId="Hyperlink">
    <w:name w:val="Hyperlink"/>
    <w:basedOn w:val="DefaultParagraphFont"/>
    <w:uiPriority w:val="99"/>
    <w:unhideWhenUsed/>
    <w:rsid w:val="00303714"/>
    <w:rPr>
      <w:color w:val="0563C1" w:themeColor="hyperlink"/>
      <w:u w:val="single"/>
    </w:rPr>
  </w:style>
  <w:style w:type="character" w:styleId="UnresolvedMention">
    <w:name w:val="Unresolved Mention"/>
    <w:basedOn w:val="DefaultParagraphFont"/>
    <w:uiPriority w:val="99"/>
    <w:semiHidden/>
    <w:unhideWhenUsed/>
    <w:rsid w:val="0030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469057">
      <w:bodyDiv w:val="1"/>
      <w:marLeft w:val="0"/>
      <w:marRight w:val="0"/>
      <w:marTop w:val="0"/>
      <w:marBottom w:val="0"/>
      <w:divBdr>
        <w:top w:val="none" w:sz="0" w:space="0" w:color="auto"/>
        <w:left w:val="none" w:sz="0" w:space="0" w:color="auto"/>
        <w:bottom w:val="none" w:sz="0" w:space="0" w:color="auto"/>
        <w:right w:val="none" w:sz="0" w:space="0" w:color="auto"/>
      </w:divBdr>
    </w:div>
    <w:div w:id="1673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Tindall</dc:creator>
  <cp:keywords/>
  <dc:description/>
  <cp:lastModifiedBy>Mich Straton</cp:lastModifiedBy>
  <cp:revision>10</cp:revision>
  <dcterms:created xsi:type="dcterms:W3CDTF">2024-09-17T02:17:00Z</dcterms:created>
  <dcterms:modified xsi:type="dcterms:W3CDTF">2024-09-17T06:12:00Z</dcterms:modified>
</cp:coreProperties>
</file>